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C3B1D" w14:textId="77777777" w:rsidR="00E609AB" w:rsidRPr="0097563C" w:rsidRDefault="00E609AB" w:rsidP="0097563C">
      <w:pPr>
        <w:spacing w:before="120" w:after="120"/>
        <w:jc w:val="both"/>
        <w:rPr>
          <w:b/>
          <w:bCs/>
          <w:sz w:val="24"/>
          <w:szCs w:val="24"/>
        </w:rPr>
      </w:pPr>
      <w:r w:rsidRPr="0097563C">
        <w:rPr>
          <w:b/>
          <w:bCs/>
          <w:sz w:val="24"/>
          <w:szCs w:val="24"/>
        </w:rPr>
        <w:t>1. Taraflar ve Tanımlar</w:t>
      </w:r>
    </w:p>
    <w:p w14:paraId="6CD47FBB" w14:textId="77777777" w:rsidR="00E609AB" w:rsidRPr="0097563C" w:rsidRDefault="00E609AB" w:rsidP="0097563C">
      <w:pPr>
        <w:numPr>
          <w:ilvl w:val="0"/>
          <w:numId w:val="1"/>
        </w:numPr>
        <w:spacing w:before="120" w:after="120"/>
        <w:jc w:val="both"/>
        <w:rPr>
          <w:sz w:val="24"/>
          <w:szCs w:val="24"/>
        </w:rPr>
      </w:pPr>
      <w:r w:rsidRPr="0097563C">
        <w:rPr>
          <w:b/>
          <w:bCs/>
          <w:sz w:val="24"/>
          <w:szCs w:val="24"/>
        </w:rPr>
        <w:t>Taraflar:</w:t>
      </w:r>
    </w:p>
    <w:p w14:paraId="2F350B9E" w14:textId="77777777" w:rsidR="00E609AB" w:rsidRPr="0097563C" w:rsidRDefault="00E609AB" w:rsidP="0097563C">
      <w:pPr>
        <w:numPr>
          <w:ilvl w:val="1"/>
          <w:numId w:val="1"/>
        </w:numPr>
        <w:spacing w:before="120" w:after="120"/>
        <w:jc w:val="both"/>
        <w:rPr>
          <w:sz w:val="24"/>
          <w:szCs w:val="24"/>
        </w:rPr>
      </w:pPr>
      <w:r w:rsidRPr="0097563C">
        <w:rPr>
          <w:sz w:val="24"/>
          <w:szCs w:val="24"/>
        </w:rPr>
        <w:t>Küçük ve Orta Ölçekli İşletmeleri Geliştirme ve Destekleme İdaresi Başkanlığı (KOSGEB)</w:t>
      </w:r>
    </w:p>
    <w:p w14:paraId="210B686B" w14:textId="77777777" w:rsidR="00E609AB" w:rsidRPr="0097563C" w:rsidRDefault="00E609AB" w:rsidP="0097563C">
      <w:pPr>
        <w:numPr>
          <w:ilvl w:val="1"/>
          <w:numId w:val="1"/>
        </w:numPr>
        <w:spacing w:before="120" w:after="120"/>
        <w:jc w:val="both"/>
        <w:rPr>
          <w:sz w:val="24"/>
          <w:szCs w:val="24"/>
        </w:rPr>
      </w:pPr>
      <w:r w:rsidRPr="0097563C">
        <w:rPr>
          <w:sz w:val="24"/>
          <w:szCs w:val="24"/>
        </w:rPr>
        <w:t>Portföy Yönetim Şirketi (PYŞ) ve onun yönettiği Girişim Sermayesi Yatırım Fonu (GSYF)</w:t>
      </w:r>
    </w:p>
    <w:p w14:paraId="4DB1974E" w14:textId="7CE63F4F" w:rsidR="00E609AB" w:rsidRPr="0097563C" w:rsidRDefault="00E609AB" w:rsidP="0097563C">
      <w:pPr>
        <w:numPr>
          <w:ilvl w:val="0"/>
          <w:numId w:val="1"/>
        </w:numPr>
        <w:spacing w:before="120" w:after="120"/>
        <w:jc w:val="both"/>
        <w:rPr>
          <w:sz w:val="24"/>
          <w:szCs w:val="24"/>
        </w:rPr>
      </w:pPr>
      <w:r w:rsidRPr="0097563C">
        <w:rPr>
          <w:b/>
          <w:bCs/>
          <w:sz w:val="24"/>
          <w:szCs w:val="24"/>
        </w:rPr>
        <w:t>Tanımlar:</w:t>
      </w:r>
      <w:r w:rsidRPr="0097563C">
        <w:rPr>
          <w:sz w:val="24"/>
          <w:szCs w:val="24"/>
        </w:rPr>
        <w:t xml:space="preserve"> Fon, Taahhüt, Katılım Payı, </w:t>
      </w:r>
      <w:r w:rsidR="00D46E67">
        <w:rPr>
          <w:sz w:val="24"/>
          <w:szCs w:val="24"/>
        </w:rPr>
        <w:t>Kaynak Taahhüdü</w:t>
      </w:r>
      <w:r w:rsidRPr="0097563C">
        <w:rPr>
          <w:sz w:val="24"/>
          <w:szCs w:val="24"/>
        </w:rPr>
        <w:t xml:space="preserve"> Çağrısı, </w:t>
      </w:r>
      <w:r w:rsidR="00C54FF9">
        <w:rPr>
          <w:sz w:val="24"/>
          <w:szCs w:val="24"/>
        </w:rPr>
        <w:t>ÇSY</w:t>
      </w:r>
      <w:r w:rsidRPr="0097563C">
        <w:rPr>
          <w:sz w:val="24"/>
          <w:szCs w:val="24"/>
        </w:rPr>
        <w:t>, Yatırım Komitesi, Değerleme gibi kavramların açık tanımı yapılır.</w:t>
      </w:r>
    </w:p>
    <w:p w14:paraId="31065B49" w14:textId="67112EA7" w:rsidR="00E609AB" w:rsidRDefault="00E609AB" w:rsidP="0097563C">
      <w:pPr>
        <w:numPr>
          <w:ilvl w:val="0"/>
          <w:numId w:val="1"/>
        </w:numPr>
        <w:spacing w:before="120" w:after="120"/>
        <w:jc w:val="both"/>
        <w:rPr>
          <w:sz w:val="24"/>
          <w:szCs w:val="24"/>
        </w:rPr>
      </w:pPr>
      <w:r w:rsidRPr="0097563C">
        <w:rPr>
          <w:b/>
          <w:bCs/>
          <w:sz w:val="24"/>
          <w:szCs w:val="24"/>
        </w:rPr>
        <w:t>Ek belgeler:</w:t>
      </w:r>
      <w:r w:rsidRPr="0097563C">
        <w:rPr>
          <w:sz w:val="24"/>
          <w:szCs w:val="24"/>
        </w:rPr>
        <w:t xml:space="preserve"> SPK Tebliği, </w:t>
      </w:r>
      <w:r w:rsidRPr="00185FFC">
        <w:rPr>
          <w:sz w:val="24"/>
          <w:szCs w:val="24"/>
        </w:rPr>
        <w:t>3624 sayılı</w:t>
      </w:r>
      <w:r w:rsidRPr="0097563C">
        <w:rPr>
          <w:sz w:val="24"/>
          <w:szCs w:val="24"/>
        </w:rPr>
        <w:t xml:space="preserve"> Kanun ve ilgili ulusal/uluslararası standartlara atıf.</w:t>
      </w:r>
    </w:p>
    <w:p w14:paraId="1937B229" w14:textId="5A86F51F" w:rsidR="00B57773" w:rsidRPr="0097563C" w:rsidRDefault="00B57773" w:rsidP="00185FFC">
      <w:pPr>
        <w:spacing w:before="120" w:after="120"/>
        <w:jc w:val="both"/>
        <w:rPr>
          <w:sz w:val="24"/>
          <w:szCs w:val="24"/>
        </w:rPr>
      </w:pPr>
      <w:r>
        <w:rPr>
          <w:b/>
          <w:bCs/>
          <w:sz w:val="24"/>
          <w:szCs w:val="24"/>
        </w:rPr>
        <w:t>2. Sözleşmenin Konusu</w:t>
      </w:r>
    </w:p>
    <w:p w14:paraId="0DD09CA4" w14:textId="356CD051" w:rsidR="00E609AB" w:rsidRPr="0097563C" w:rsidRDefault="00E609AB" w:rsidP="0097563C">
      <w:pPr>
        <w:spacing w:before="120" w:after="120"/>
        <w:jc w:val="both"/>
        <w:rPr>
          <w:b/>
          <w:bCs/>
          <w:sz w:val="24"/>
          <w:szCs w:val="24"/>
        </w:rPr>
      </w:pPr>
      <w:r w:rsidRPr="0097563C">
        <w:rPr>
          <w:b/>
          <w:bCs/>
          <w:sz w:val="24"/>
          <w:szCs w:val="24"/>
        </w:rPr>
        <w:t xml:space="preserve">2. </w:t>
      </w:r>
      <w:r w:rsidR="00B50201">
        <w:rPr>
          <w:b/>
          <w:bCs/>
          <w:sz w:val="24"/>
          <w:szCs w:val="24"/>
        </w:rPr>
        <w:t>Kaynak Taahhüdü</w:t>
      </w:r>
      <w:r w:rsidRPr="0097563C">
        <w:rPr>
          <w:b/>
          <w:bCs/>
          <w:sz w:val="24"/>
          <w:szCs w:val="24"/>
        </w:rPr>
        <w:t xml:space="preserve"> ve Yükümlülükler</w:t>
      </w:r>
    </w:p>
    <w:p w14:paraId="171602B7" w14:textId="23C233B9" w:rsidR="00E609AB" w:rsidRDefault="00E609AB" w:rsidP="0097563C">
      <w:pPr>
        <w:numPr>
          <w:ilvl w:val="0"/>
          <w:numId w:val="2"/>
        </w:numPr>
        <w:spacing w:before="120" w:after="120"/>
        <w:jc w:val="both"/>
        <w:rPr>
          <w:sz w:val="24"/>
          <w:szCs w:val="24"/>
        </w:rPr>
      </w:pPr>
      <w:r w:rsidRPr="0097563C">
        <w:rPr>
          <w:b/>
          <w:bCs/>
          <w:sz w:val="24"/>
          <w:szCs w:val="24"/>
        </w:rPr>
        <w:t>Taahhüt tutarı:</w:t>
      </w:r>
      <w:r w:rsidRPr="0097563C">
        <w:rPr>
          <w:sz w:val="24"/>
          <w:szCs w:val="24"/>
        </w:rPr>
        <w:t xml:space="preserve"> KOSGEB’in yatırım </w:t>
      </w:r>
      <w:r w:rsidR="00C54FF9" w:rsidRPr="0097563C">
        <w:rPr>
          <w:sz w:val="24"/>
          <w:szCs w:val="24"/>
        </w:rPr>
        <w:t>taahhü</w:t>
      </w:r>
      <w:r w:rsidR="00C54FF9">
        <w:rPr>
          <w:sz w:val="24"/>
          <w:szCs w:val="24"/>
        </w:rPr>
        <w:t>t</w:t>
      </w:r>
      <w:r w:rsidR="00C54FF9" w:rsidRPr="0097563C">
        <w:rPr>
          <w:sz w:val="24"/>
          <w:szCs w:val="24"/>
        </w:rPr>
        <w:t>tü</w:t>
      </w:r>
      <w:r w:rsidRPr="0097563C">
        <w:rPr>
          <w:sz w:val="24"/>
          <w:szCs w:val="24"/>
        </w:rPr>
        <w:t xml:space="preserve"> net bir rakamla belirtilir (</w:t>
      </w:r>
      <w:proofErr w:type="spellStart"/>
      <w:r w:rsidRPr="0097563C">
        <w:rPr>
          <w:sz w:val="24"/>
          <w:szCs w:val="24"/>
        </w:rPr>
        <w:t>örn</w:t>
      </w:r>
      <w:proofErr w:type="spellEnd"/>
      <w:r w:rsidRPr="0097563C">
        <w:rPr>
          <w:sz w:val="24"/>
          <w:szCs w:val="24"/>
        </w:rPr>
        <w:t>. 200.000.000 TL’ye kadar).</w:t>
      </w:r>
    </w:p>
    <w:p w14:paraId="62462296" w14:textId="1A37AF82" w:rsidR="00327D17" w:rsidRPr="00B50201" w:rsidRDefault="00327D17" w:rsidP="00327D17">
      <w:pPr>
        <w:numPr>
          <w:ilvl w:val="0"/>
          <w:numId w:val="2"/>
        </w:numPr>
        <w:spacing w:before="120" w:after="120"/>
        <w:jc w:val="both"/>
        <w:rPr>
          <w:sz w:val="24"/>
          <w:szCs w:val="24"/>
        </w:rPr>
      </w:pPr>
      <w:r w:rsidRPr="00185FFC">
        <w:rPr>
          <w:b/>
          <w:bCs/>
          <w:sz w:val="24"/>
          <w:szCs w:val="24"/>
        </w:rPr>
        <w:t>Ödeme Planı:</w:t>
      </w:r>
      <w:r w:rsidRPr="00185FFC">
        <w:rPr>
          <w:sz w:val="24"/>
          <w:szCs w:val="24"/>
        </w:rPr>
        <w:t xml:space="preserve"> Taahhüt edilen tutarın fon hesabına aktarılacağı tarihler belirlenir.</w:t>
      </w:r>
      <w:r w:rsidRPr="00B50201">
        <w:rPr>
          <w:sz w:val="24"/>
          <w:szCs w:val="24"/>
        </w:rPr>
        <w:t xml:space="preserve"> </w:t>
      </w:r>
    </w:p>
    <w:p w14:paraId="4272F6BB" w14:textId="0D5D1463" w:rsidR="00E609AB" w:rsidRPr="0097563C" w:rsidRDefault="00E609AB" w:rsidP="0097563C">
      <w:pPr>
        <w:numPr>
          <w:ilvl w:val="0"/>
          <w:numId w:val="2"/>
        </w:numPr>
        <w:spacing w:before="120" w:after="120"/>
        <w:jc w:val="both"/>
        <w:rPr>
          <w:sz w:val="24"/>
          <w:szCs w:val="24"/>
        </w:rPr>
      </w:pPr>
      <w:r w:rsidRPr="0097563C">
        <w:rPr>
          <w:b/>
          <w:bCs/>
          <w:sz w:val="24"/>
          <w:szCs w:val="24"/>
        </w:rPr>
        <w:t>Ödeme şekli:</w:t>
      </w:r>
      <w:r w:rsidRPr="0097563C">
        <w:rPr>
          <w:sz w:val="24"/>
          <w:szCs w:val="24"/>
        </w:rPr>
        <w:t xml:space="preserve"> Ödemeler, </w:t>
      </w:r>
      <w:proofErr w:type="spellStart"/>
      <w:r w:rsidRPr="0097563C">
        <w:rPr>
          <w:sz w:val="24"/>
          <w:szCs w:val="24"/>
        </w:rPr>
        <w:t>PYŞ’nin</w:t>
      </w:r>
      <w:proofErr w:type="spellEnd"/>
      <w:r w:rsidRPr="0097563C">
        <w:rPr>
          <w:sz w:val="24"/>
          <w:szCs w:val="24"/>
        </w:rPr>
        <w:t xml:space="preserve"> çağrısı üzerine, belirlenen IBAN’a aktarılır.</w:t>
      </w:r>
    </w:p>
    <w:p w14:paraId="4F702C04" w14:textId="38DA7DEB" w:rsidR="00E609AB" w:rsidRPr="0097563C" w:rsidRDefault="00E609AB" w:rsidP="0097563C">
      <w:pPr>
        <w:numPr>
          <w:ilvl w:val="0"/>
          <w:numId w:val="2"/>
        </w:numPr>
        <w:spacing w:before="120" w:after="120"/>
        <w:jc w:val="both"/>
        <w:rPr>
          <w:sz w:val="24"/>
          <w:szCs w:val="24"/>
        </w:rPr>
      </w:pPr>
      <w:r w:rsidRPr="0097563C">
        <w:rPr>
          <w:b/>
          <w:bCs/>
          <w:sz w:val="24"/>
          <w:szCs w:val="24"/>
        </w:rPr>
        <w:t>Kamu kaynağı:</w:t>
      </w:r>
      <w:r w:rsidRPr="0097563C">
        <w:rPr>
          <w:sz w:val="24"/>
          <w:szCs w:val="24"/>
        </w:rPr>
        <w:t xml:space="preserve"> Kamu fonlarının eş-finansman ilkesiyle kullanılacağı, tek başına yatırım yapılamayacağı hükme bağlanır.</w:t>
      </w:r>
      <w:r w:rsidR="005352D8">
        <w:rPr>
          <w:sz w:val="24"/>
          <w:szCs w:val="24"/>
        </w:rPr>
        <w:t xml:space="preserve"> </w:t>
      </w:r>
      <w:r w:rsidR="005352D8" w:rsidRPr="003F09C1">
        <w:rPr>
          <w:sz w:val="24"/>
          <w:szCs w:val="24"/>
        </w:rPr>
        <w:t>Başkanlı</w:t>
      </w:r>
      <w:r w:rsidR="005352D8">
        <w:rPr>
          <w:sz w:val="24"/>
          <w:szCs w:val="24"/>
        </w:rPr>
        <w:t>k</w:t>
      </w:r>
      <w:r w:rsidR="005352D8" w:rsidRPr="003F09C1">
        <w:rPr>
          <w:sz w:val="24"/>
          <w:szCs w:val="24"/>
        </w:rPr>
        <w:t>, fon yatırımlarına paralel veya bunlardan bağımsız olarak doğrudan ortak yatırım yapma</w:t>
      </w:r>
      <w:r w:rsidR="005352D8">
        <w:rPr>
          <w:sz w:val="24"/>
          <w:szCs w:val="24"/>
        </w:rPr>
        <w:t xml:space="preserve"> hakkına sahiptir.</w:t>
      </w:r>
    </w:p>
    <w:p w14:paraId="1D556541" w14:textId="5DF7714D" w:rsidR="00E609AB" w:rsidRPr="0097563C" w:rsidRDefault="00E609AB" w:rsidP="0097563C">
      <w:pPr>
        <w:numPr>
          <w:ilvl w:val="0"/>
          <w:numId w:val="2"/>
        </w:numPr>
        <w:spacing w:before="120" w:after="120"/>
        <w:jc w:val="both"/>
        <w:rPr>
          <w:sz w:val="24"/>
          <w:szCs w:val="24"/>
        </w:rPr>
      </w:pPr>
      <w:r w:rsidRPr="0097563C">
        <w:rPr>
          <w:b/>
          <w:bCs/>
          <w:sz w:val="24"/>
          <w:szCs w:val="24"/>
        </w:rPr>
        <w:t>Limitler:</w:t>
      </w:r>
      <w:r w:rsidR="00B57773">
        <w:rPr>
          <w:sz w:val="24"/>
          <w:szCs w:val="24"/>
        </w:rPr>
        <w:t xml:space="preserve"> KOSGEB Girişim Sermayesi Yatırım Fonları Yatırımlarına İlişkin Yönerge kapsamındaki oranlara ve limitlere uyum sağlanır.</w:t>
      </w:r>
      <w:r w:rsidRPr="0097563C">
        <w:rPr>
          <w:sz w:val="24"/>
          <w:szCs w:val="24"/>
        </w:rPr>
        <w:t xml:space="preserve"> </w:t>
      </w:r>
    </w:p>
    <w:p w14:paraId="382CE06A" w14:textId="636317D7" w:rsidR="00E609AB" w:rsidRPr="0097563C" w:rsidRDefault="00E609AB" w:rsidP="0097563C">
      <w:pPr>
        <w:spacing w:before="120" w:after="120"/>
        <w:jc w:val="both"/>
        <w:rPr>
          <w:b/>
          <w:bCs/>
          <w:sz w:val="24"/>
          <w:szCs w:val="24"/>
        </w:rPr>
      </w:pPr>
      <w:r w:rsidRPr="0097563C">
        <w:rPr>
          <w:b/>
          <w:bCs/>
          <w:sz w:val="24"/>
          <w:szCs w:val="24"/>
        </w:rPr>
        <w:t xml:space="preserve">3. </w:t>
      </w:r>
      <w:r w:rsidR="00D46E67">
        <w:rPr>
          <w:b/>
          <w:bCs/>
          <w:sz w:val="24"/>
          <w:szCs w:val="24"/>
        </w:rPr>
        <w:t>Kaynak Taahhüdü</w:t>
      </w:r>
      <w:r w:rsidRPr="0097563C">
        <w:rPr>
          <w:b/>
          <w:bCs/>
          <w:sz w:val="24"/>
          <w:szCs w:val="24"/>
        </w:rPr>
        <w:t xml:space="preserve"> Çağrılar</w:t>
      </w:r>
    </w:p>
    <w:p w14:paraId="2CAA04F9" w14:textId="56E487EE" w:rsidR="00E609AB" w:rsidRPr="0097563C" w:rsidRDefault="00E609AB" w:rsidP="0097563C">
      <w:pPr>
        <w:numPr>
          <w:ilvl w:val="0"/>
          <w:numId w:val="3"/>
        </w:numPr>
        <w:spacing w:before="120" w:after="120"/>
        <w:jc w:val="both"/>
        <w:rPr>
          <w:sz w:val="24"/>
          <w:szCs w:val="24"/>
        </w:rPr>
      </w:pPr>
      <w:r w:rsidRPr="0097563C">
        <w:rPr>
          <w:b/>
          <w:bCs/>
          <w:sz w:val="24"/>
          <w:szCs w:val="24"/>
        </w:rPr>
        <w:t>Bildirim süresi:</w:t>
      </w:r>
      <w:r w:rsidRPr="0097563C">
        <w:rPr>
          <w:sz w:val="24"/>
          <w:szCs w:val="24"/>
        </w:rPr>
        <w:t xml:space="preserve"> Sermaye çağrılarının en az</w:t>
      </w:r>
      <w:r w:rsidR="00B57773">
        <w:rPr>
          <w:sz w:val="24"/>
          <w:szCs w:val="24"/>
        </w:rPr>
        <w:t xml:space="preserve">20 </w:t>
      </w:r>
      <w:r w:rsidRPr="0097563C">
        <w:rPr>
          <w:sz w:val="24"/>
          <w:szCs w:val="24"/>
        </w:rPr>
        <w:t>iş günü önceden yazılı</w:t>
      </w:r>
      <w:r w:rsidR="00B57773">
        <w:rPr>
          <w:sz w:val="24"/>
          <w:szCs w:val="24"/>
        </w:rPr>
        <w:t xml:space="preserve"> veya KOBİ Bilgi Sistemi üzerinden</w:t>
      </w:r>
      <w:r w:rsidRPr="0097563C">
        <w:rPr>
          <w:sz w:val="24"/>
          <w:szCs w:val="24"/>
        </w:rPr>
        <w:t xml:space="preserve"> bildirimle yapılması.</w:t>
      </w:r>
    </w:p>
    <w:p w14:paraId="579722C7" w14:textId="09D04748" w:rsidR="00B50201" w:rsidRDefault="00E609AB" w:rsidP="00B50201">
      <w:pPr>
        <w:numPr>
          <w:ilvl w:val="0"/>
          <w:numId w:val="3"/>
        </w:numPr>
        <w:spacing w:before="120" w:after="120"/>
        <w:jc w:val="both"/>
        <w:rPr>
          <w:sz w:val="24"/>
          <w:szCs w:val="24"/>
        </w:rPr>
      </w:pPr>
      <w:r w:rsidRPr="0097563C">
        <w:rPr>
          <w:b/>
          <w:bCs/>
          <w:sz w:val="24"/>
          <w:szCs w:val="24"/>
        </w:rPr>
        <w:t>İçerik:</w:t>
      </w:r>
      <w:r w:rsidRPr="0097563C">
        <w:rPr>
          <w:sz w:val="24"/>
          <w:szCs w:val="24"/>
        </w:rPr>
        <w:t xml:space="preserve"> Çağrıda fonun nakit ihtiyacı, yatırım amacı, kullanım planı ve mevcut sermaye seviyesi belirtilir.</w:t>
      </w:r>
    </w:p>
    <w:p w14:paraId="1E7FAC0C" w14:textId="12175943" w:rsidR="00B50201" w:rsidRDefault="00B50201" w:rsidP="00B50201">
      <w:pPr>
        <w:tabs>
          <w:tab w:val="left" w:pos="0"/>
        </w:tabs>
        <w:spacing w:before="120" w:after="120"/>
        <w:jc w:val="both"/>
        <w:rPr>
          <w:b/>
          <w:bCs/>
          <w:sz w:val="24"/>
          <w:szCs w:val="24"/>
        </w:rPr>
      </w:pPr>
      <w:r>
        <w:rPr>
          <w:b/>
          <w:bCs/>
          <w:sz w:val="24"/>
          <w:szCs w:val="24"/>
        </w:rPr>
        <w:t>4. Süre</w:t>
      </w:r>
    </w:p>
    <w:p w14:paraId="339015FC" w14:textId="50A77116" w:rsidR="00B50201" w:rsidRPr="00B50201" w:rsidRDefault="00B50201" w:rsidP="00185FFC">
      <w:pPr>
        <w:tabs>
          <w:tab w:val="left" w:pos="709"/>
        </w:tabs>
        <w:spacing w:before="120" w:after="120"/>
        <w:ind w:left="426"/>
        <w:jc w:val="both"/>
        <w:rPr>
          <w:sz w:val="24"/>
          <w:szCs w:val="24"/>
        </w:rPr>
      </w:pPr>
      <w:r w:rsidRPr="00185FFC">
        <w:rPr>
          <w:sz w:val="24"/>
          <w:szCs w:val="24"/>
        </w:rPr>
        <w:t xml:space="preserve">….. </w:t>
      </w:r>
      <w:proofErr w:type="spellStart"/>
      <w:r w:rsidRPr="00185FFC">
        <w:rPr>
          <w:sz w:val="24"/>
          <w:szCs w:val="24"/>
        </w:rPr>
        <w:t>GSYF’nin</w:t>
      </w:r>
      <w:proofErr w:type="spellEnd"/>
      <w:r w:rsidRPr="00185FFC">
        <w:rPr>
          <w:sz w:val="24"/>
          <w:szCs w:val="24"/>
        </w:rPr>
        <w:t xml:space="preserve"> süresi … yıl olup … yıl yatırım,</w:t>
      </w:r>
      <w:r w:rsidR="00DF03BB" w:rsidRPr="00185FFC">
        <w:rPr>
          <w:sz w:val="24"/>
          <w:szCs w:val="24"/>
        </w:rPr>
        <w:t xml:space="preserve"> … yıl tasfiye dönemi olarak belirlenmiştir. </w:t>
      </w:r>
      <w:r w:rsidRPr="00185FFC">
        <w:rPr>
          <w:sz w:val="24"/>
          <w:szCs w:val="24"/>
        </w:rPr>
        <w:t xml:space="preserve"> </w:t>
      </w:r>
    </w:p>
    <w:p w14:paraId="0436C73C" w14:textId="183FA5C8" w:rsidR="00E609AB" w:rsidRPr="0097563C" w:rsidRDefault="00E8653C" w:rsidP="0097563C">
      <w:pPr>
        <w:spacing w:before="120" w:after="120"/>
        <w:jc w:val="both"/>
        <w:rPr>
          <w:b/>
          <w:bCs/>
          <w:sz w:val="24"/>
          <w:szCs w:val="24"/>
        </w:rPr>
      </w:pPr>
      <w:r>
        <w:rPr>
          <w:b/>
          <w:bCs/>
          <w:sz w:val="24"/>
          <w:szCs w:val="24"/>
        </w:rPr>
        <w:t>5</w:t>
      </w:r>
      <w:r w:rsidR="00E609AB" w:rsidRPr="0097563C">
        <w:rPr>
          <w:b/>
          <w:bCs/>
          <w:sz w:val="24"/>
          <w:szCs w:val="24"/>
        </w:rPr>
        <w:t>. Fon Yönetimi ve Karar Alma</w:t>
      </w:r>
    </w:p>
    <w:p w14:paraId="44860497" w14:textId="77777777" w:rsidR="00E609AB" w:rsidRPr="0097563C" w:rsidRDefault="00E609AB" w:rsidP="0097563C">
      <w:pPr>
        <w:numPr>
          <w:ilvl w:val="0"/>
          <w:numId w:val="4"/>
        </w:numPr>
        <w:spacing w:before="120" w:after="120"/>
        <w:jc w:val="both"/>
        <w:rPr>
          <w:sz w:val="24"/>
          <w:szCs w:val="24"/>
        </w:rPr>
      </w:pPr>
      <w:r w:rsidRPr="0097563C">
        <w:rPr>
          <w:b/>
          <w:bCs/>
          <w:sz w:val="24"/>
          <w:szCs w:val="24"/>
        </w:rPr>
        <w:t>Yönetim sorumluluğu:</w:t>
      </w:r>
      <w:r w:rsidRPr="0097563C">
        <w:rPr>
          <w:sz w:val="24"/>
          <w:szCs w:val="24"/>
        </w:rPr>
        <w:t xml:space="preserve"> PYŞ, SPK mevzuatı ve uluslararası fon yönetim standartlarına uygun davranır.</w:t>
      </w:r>
    </w:p>
    <w:p w14:paraId="646AECBF" w14:textId="77777777" w:rsidR="00E609AB" w:rsidRPr="0097563C" w:rsidRDefault="00E609AB" w:rsidP="0097563C">
      <w:pPr>
        <w:numPr>
          <w:ilvl w:val="0"/>
          <w:numId w:val="4"/>
        </w:numPr>
        <w:spacing w:before="120" w:after="120"/>
        <w:jc w:val="both"/>
        <w:rPr>
          <w:sz w:val="24"/>
          <w:szCs w:val="24"/>
        </w:rPr>
      </w:pPr>
      <w:r w:rsidRPr="0097563C">
        <w:rPr>
          <w:b/>
          <w:bCs/>
          <w:sz w:val="24"/>
          <w:szCs w:val="24"/>
        </w:rPr>
        <w:t>Yatırım Komitesi:</w:t>
      </w:r>
    </w:p>
    <w:p w14:paraId="750937B2" w14:textId="77777777" w:rsidR="00E609AB" w:rsidRPr="0097563C" w:rsidRDefault="00E609AB" w:rsidP="0097563C">
      <w:pPr>
        <w:numPr>
          <w:ilvl w:val="1"/>
          <w:numId w:val="4"/>
        </w:numPr>
        <w:spacing w:before="120" w:after="120"/>
        <w:jc w:val="both"/>
        <w:rPr>
          <w:sz w:val="24"/>
          <w:szCs w:val="24"/>
        </w:rPr>
      </w:pPr>
      <w:r w:rsidRPr="0097563C">
        <w:rPr>
          <w:sz w:val="24"/>
          <w:szCs w:val="24"/>
        </w:rPr>
        <w:t>Üyelerin kimlerden oluşacağı,</w:t>
      </w:r>
    </w:p>
    <w:p w14:paraId="7DAA9F79" w14:textId="77777777" w:rsidR="00E609AB" w:rsidRPr="0097563C" w:rsidRDefault="00E609AB" w:rsidP="0097563C">
      <w:pPr>
        <w:numPr>
          <w:ilvl w:val="1"/>
          <w:numId w:val="4"/>
        </w:numPr>
        <w:spacing w:before="120" w:after="120"/>
        <w:jc w:val="both"/>
        <w:rPr>
          <w:sz w:val="24"/>
          <w:szCs w:val="24"/>
        </w:rPr>
      </w:pPr>
      <w:r w:rsidRPr="0097563C">
        <w:rPr>
          <w:sz w:val="24"/>
          <w:szCs w:val="24"/>
        </w:rPr>
        <w:t>Karar yeter sayısı (ör. oybirliği veya 3/5 çoğunluk),</w:t>
      </w:r>
    </w:p>
    <w:p w14:paraId="15B4CFE2" w14:textId="77777777" w:rsidR="00E609AB" w:rsidRPr="0097563C" w:rsidRDefault="00E609AB" w:rsidP="0097563C">
      <w:pPr>
        <w:numPr>
          <w:ilvl w:val="1"/>
          <w:numId w:val="4"/>
        </w:numPr>
        <w:spacing w:before="120" w:after="120"/>
        <w:jc w:val="both"/>
        <w:rPr>
          <w:sz w:val="24"/>
          <w:szCs w:val="24"/>
        </w:rPr>
      </w:pPr>
      <w:r w:rsidRPr="0097563C">
        <w:rPr>
          <w:sz w:val="24"/>
          <w:szCs w:val="24"/>
        </w:rPr>
        <w:t>KOSGEB’in “gözlemci üye” bulundurma hakkı.</w:t>
      </w:r>
    </w:p>
    <w:p w14:paraId="2AE46B68" w14:textId="02986155" w:rsidR="00B50201" w:rsidRPr="00B50201" w:rsidRDefault="00E609AB" w:rsidP="00B50201">
      <w:pPr>
        <w:numPr>
          <w:ilvl w:val="0"/>
          <w:numId w:val="4"/>
        </w:numPr>
        <w:spacing w:before="120" w:after="120"/>
        <w:jc w:val="both"/>
        <w:rPr>
          <w:sz w:val="24"/>
          <w:szCs w:val="24"/>
        </w:rPr>
      </w:pPr>
      <w:r w:rsidRPr="0097563C">
        <w:rPr>
          <w:b/>
          <w:bCs/>
          <w:sz w:val="24"/>
          <w:szCs w:val="24"/>
        </w:rPr>
        <w:lastRenderedPageBreak/>
        <w:t>Çıkar çatışmaları:</w:t>
      </w:r>
      <w:r w:rsidRPr="0097563C">
        <w:rPr>
          <w:sz w:val="24"/>
          <w:szCs w:val="24"/>
        </w:rPr>
        <w:t xml:space="preserve"> İlişkili taraflarla yapılacak yatırımlar için bağımsız onay zorunluluğu.</w:t>
      </w:r>
    </w:p>
    <w:p w14:paraId="28262DB5" w14:textId="727F0087" w:rsidR="00E609AB" w:rsidRPr="0097563C" w:rsidRDefault="00E8653C" w:rsidP="0097563C">
      <w:pPr>
        <w:spacing w:before="120" w:after="120"/>
        <w:jc w:val="both"/>
        <w:rPr>
          <w:b/>
          <w:bCs/>
          <w:sz w:val="24"/>
          <w:szCs w:val="24"/>
        </w:rPr>
      </w:pPr>
      <w:r>
        <w:rPr>
          <w:b/>
          <w:bCs/>
          <w:sz w:val="24"/>
          <w:szCs w:val="24"/>
        </w:rPr>
        <w:t>6</w:t>
      </w:r>
      <w:r w:rsidR="00E609AB" w:rsidRPr="0097563C">
        <w:rPr>
          <w:b/>
          <w:bCs/>
          <w:sz w:val="24"/>
          <w:szCs w:val="24"/>
        </w:rPr>
        <w:t xml:space="preserve">. </w:t>
      </w:r>
      <w:r w:rsidR="00B50201">
        <w:rPr>
          <w:b/>
          <w:bCs/>
          <w:sz w:val="24"/>
          <w:szCs w:val="24"/>
        </w:rPr>
        <w:t>Yatırım</w:t>
      </w:r>
      <w:r w:rsidR="00B50201" w:rsidRPr="0097563C">
        <w:rPr>
          <w:b/>
          <w:bCs/>
          <w:sz w:val="24"/>
          <w:szCs w:val="24"/>
        </w:rPr>
        <w:t xml:space="preserve"> </w:t>
      </w:r>
      <w:r w:rsidR="00E609AB" w:rsidRPr="0097563C">
        <w:rPr>
          <w:b/>
          <w:bCs/>
          <w:sz w:val="24"/>
          <w:szCs w:val="24"/>
        </w:rPr>
        <w:t>Politikaları ve Sınırlamalar</w:t>
      </w:r>
    </w:p>
    <w:p w14:paraId="5BB44794" w14:textId="77777777" w:rsidR="00E609AB" w:rsidRPr="0097563C" w:rsidRDefault="00E609AB" w:rsidP="0097563C">
      <w:pPr>
        <w:numPr>
          <w:ilvl w:val="0"/>
          <w:numId w:val="5"/>
        </w:numPr>
        <w:spacing w:before="120" w:after="120"/>
        <w:jc w:val="both"/>
        <w:rPr>
          <w:sz w:val="24"/>
          <w:szCs w:val="24"/>
        </w:rPr>
      </w:pPr>
      <w:r w:rsidRPr="0097563C">
        <w:rPr>
          <w:b/>
          <w:bCs/>
          <w:sz w:val="24"/>
          <w:szCs w:val="24"/>
        </w:rPr>
        <w:t>Odak sektörler:</w:t>
      </w:r>
      <w:r w:rsidRPr="0097563C">
        <w:rPr>
          <w:sz w:val="24"/>
          <w:szCs w:val="24"/>
        </w:rPr>
        <w:t xml:space="preserve"> Teknoloji, yeşil dönüşüm, kadın/ genç girişimcilik gibi öncelikli alanların önceliği.</w:t>
      </w:r>
    </w:p>
    <w:p w14:paraId="3C5CD04A" w14:textId="77777777" w:rsidR="00E609AB" w:rsidRDefault="00E609AB" w:rsidP="0097563C">
      <w:pPr>
        <w:numPr>
          <w:ilvl w:val="0"/>
          <w:numId w:val="5"/>
        </w:numPr>
        <w:spacing w:before="120" w:after="120"/>
        <w:jc w:val="both"/>
        <w:rPr>
          <w:sz w:val="24"/>
          <w:szCs w:val="24"/>
        </w:rPr>
      </w:pPr>
      <w:r w:rsidRPr="0097563C">
        <w:rPr>
          <w:b/>
          <w:bCs/>
          <w:sz w:val="24"/>
          <w:szCs w:val="24"/>
        </w:rPr>
        <w:t>Yasaklı yatırımlar:</w:t>
      </w:r>
      <w:r w:rsidRPr="0097563C">
        <w:rPr>
          <w:sz w:val="24"/>
          <w:szCs w:val="24"/>
        </w:rPr>
        <w:t xml:space="preserve"> Tütün, yasa dışı kumar, çevreye ağır zarar veren faaliyetler, çocuk işçiliği vb.</w:t>
      </w:r>
    </w:p>
    <w:p w14:paraId="16AD01F8" w14:textId="09895096" w:rsidR="00327D17" w:rsidRPr="0097563C" w:rsidRDefault="00327D17" w:rsidP="0097563C">
      <w:pPr>
        <w:numPr>
          <w:ilvl w:val="0"/>
          <w:numId w:val="5"/>
        </w:numPr>
        <w:spacing w:before="120" w:after="120"/>
        <w:jc w:val="both"/>
        <w:rPr>
          <w:sz w:val="24"/>
          <w:szCs w:val="24"/>
        </w:rPr>
      </w:pPr>
      <w:r w:rsidRPr="00185FFC">
        <w:rPr>
          <w:b/>
          <w:bCs/>
          <w:color w:val="000000" w:themeColor="text1"/>
          <w:sz w:val="24"/>
          <w:szCs w:val="24"/>
        </w:rPr>
        <w:t>Yatırım Zorunluluğu:</w:t>
      </w:r>
      <w:r>
        <w:rPr>
          <w:color w:val="000000" w:themeColor="text1"/>
          <w:sz w:val="24"/>
          <w:szCs w:val="24"/>
        </w:rPr>
        <w:t xml:space="preserve"> </w:t>
      </w:r>
      <w:r w:rsidRPr="003F09C1">
        <w:rPr>
          <w:color w:val="000000" w:themeColor="text1"/>
          <w:sz w:val="24"/>
          <w:szCs w:val="24"/>
        </w:rPr>
        <w:t>Fonun, Türkiye’de yerleşik KOBİ’lere yapacağı yatırım tutarı, Başkanlığın toplam yatırım taahhüt tutarından düşük olamaz.</w:t>
      </w:r>
    </w:p>
    <w:p w14:paraId="588BA07A" w14:textId="008F2734" w:rsidR="00E609AB" w:rsidRPr="0097563C" w:rsidRDefault="00E8653C" w:rsidP="0097563C">
      <w:pPr>
        <w:spacing w:before="120" w:after="120"/>
        <w:jc w:val="both"/>
        <w:rPr>
          <w:b/>
          <w:bCs/>
          <w:sz w:val="24"/>
          <w:szCs w:val="24"/>
        </w:rPr>
      </w:pPr>
      <w:r>
        <w:rPr>
          <w:b/>
          <w:bCs/>
          <w:sz w:val="24"/>
          <w:szCs w:val="24"/>
        </w:rPr>
        <w:t>7</w:t>
      </w:r>
      <w:r w:rsidR="00E609AB" w:rsidRPr="0097563C">
        <w:rPr>
          <w:b/>
          <w:bCs/>
          <w:sz w:val="24"/>
          <w:szCs w:val="24"/>
        </w:rPr>
        <w:t>. Değerleme ve Finansal Raporlama</w:t>
      </w:r>
    </w:p>
    <w:p w14:paraId="7F984261" w14:textId="2979C595" w:rsidR="00E609AB" w:rsidRPr="0097563C" w:rsidRDefault="00E609AB" w:rsidP="0097563C">
      <w:pPr>
        <w:numPr>
          <w:ilvl w:val="0"/>
          <w:numId w:val="6"/>
        </w:numPr>
        <w:spacing w:before="120" w:after="120"/>
        <w:jc w:val="both"/>
        <w:rPr>
          <w:sz w:val="24"/>
          <w:szCs w:val="24"/>
        </w:rPr>
      </w:pPr>
      <w:r w:rsidRPr="0097563C">
        <w:rPr>
          <w:b/>
          <w:bCs/>
          <w:sz w:val="24"/>
          <w:szCs w:val="24"/>
        </w:rPr>
        <w:t>Değerleme standartları:</w:t>
      </w:r>
      <w:r w:rsidRPr="0097563C">
        <w:rPr>
          <w:sz w:val="24"/>
          <w:szCs w:val="24"/>
        </w:rPr>
        <w:t xml:space="preserve"> </w:t>
      </w:r>
      <w:r w:rsidR="00C54FF9" w:rsidRPr="00ED3993">
        <w:rPr>
          <w:sz w:val="24"/>
          <w:szCs w:val="24"/>
        </w:rPr>
        <w:t xml:space="preserve">Portföy değerlemeleri </w:t>
      </w:r>
      <w:r w:rsidR="00C54FF9" w:rsidRPr="0030482F">
        <w:rPr>
          <w:sz w:val="24"/>
          <w:szCs w:val="24"/>
        </w:rPr>
        <w:t>uluslararası değerl</w:t>
      </w:r>
      <w:r w:rsidR="00C54FF9">
        <w:rPr>
          <w:sz w:val="24"/>
          <w:szCs w:val="24"/>
        </w:rPr>
        <w:t>e</w:t>
      </w:r>
      <w:r w:rsidR="00C54FF9" w:rsidRPr="0030482F">
        <w:rPr>
          <w:sz w:val="24"/>
          <w:szCs w:val="24"/>
        </w:rPr>
        <w:t>me ve raporlama</w:t>
      </w:r>
      <w:r w:rsidR="00C54FF9" w:rsidRPr="00ED3993">
        <w:rPr>
          <w:sz w:val="24"/>
          <w:szCs w:val="24"/>
        </w:rPr>
        <w:t xml:space="preserve"> prensipleri, S</w:t>
      </w:r>
      <w:r w:rsidR="00C54FF9">
        <w:rPr>
          <w:sz w:val="24"/>
          <w:szCs w:val="24"/>
        </w:rPr>
        <w:t xml:space="preserve">ermaye </w:t>
      </w:r>
      <w:r w:rsidR="00C54FF9" w:rsidRPr="00ED3993">
        <w:rPr>
          <w:sz w:val="24"/>
          <w:szCs w:val="24"/>
        </w:rPr>
        <w:t>P</w:t>
      </w:r>
      <w:r w:rsidR="00C54FF9">
        <w:rPr>
          <w:sz w:val="24"/>
          <w:szCs w:val="24"/>
        </w:rPr>
        <w:t xml:space="preserve">iyasası </w:t>
      </w:r>
      <w:r w:rsidR="00C54FF9" w:rsidRPr="00ED3993">
        <w:rPr>
          <w:sz w:val="24"/>
          <w:szCs w:val="24"/>
        </w:rPr>
        <w:t>K</w:t>
      </w:r>
      <w:r w:rsidR="00C54FF9">
        <w:rPr>
          <w:sz w:val="24"/>
          <w:szCs w:val="24"/>
        </w:rPr>
        <w:t>urulu</w:t>
      </w:r>
      <w:r w:rsidR="00C54FF9" w:rsidRPr="00ED3993">
        <w:rPr>
          <w:sz w:val="24"/>
          <w:szCs w:val="24"/>
        </w:rPr>
        <w:t xml:space="preserve"> rehberleri ve sektör</w:t>
      </w:r>
      <w:r w:rsidR="00C54FF9">
        <w:rPr>
          <w:sz w:val="24"/>
          <w:szCs w:val="24"/>
        </w:rPr>
        <w:t>ün</w:t>
      </w:r>
      <w:r w:rsidR="00C54FF9" w:rsidRPr="00ED3993">
        <w:rPr>
          <w:sz w:val="24"/>
          <w:szCs w:val="24"/>
        </w:rPr>
        <w:t xml:space="preserve"> iyi uygulamaları</w:t>
      </w:r>
      <w:r w:rsidR="00C54FF9">
        <w:rPr>
          <w:sz w:val="24"/>
          <w:szCs w:val="24"/>
        </w:rPr>
        <w:t xml:space="preserve"> doğrultusunda hazırlanır.</w:t>
      </w:r>
    </w:p>
    <w:p w14:paraId="0F37902F" w14:textId="77777777" w:rsidR="00E609AB" w:rsidRPr="0097563C" w:rsidRDefault="00E609AB" w:rsidP="0097563C">
      <w:pPr>
        <w:numPr>
          <w:ilvl w:val="0"/>
          <w:numId w:val="6"/>
        </w:numPr>
        <w:spacing w:before="120" w:after="120"/>
        <w:jc w:val="both"/>
        <w:rPr>
          <w:sz w:val="24"/>
          <w:szCs w:val="24"/>
        </w:rPr>
      </w:pPr>
      <w:r w:rsidRPr="0097563C">
        <w:rPr>
          <w:b/>
          <w:bCs/>
          <w:sz w:val="24"/>
          <w:szCs w:val="24"/>
        </w:rPr>
        <w:t>Sıklık:</w:t>
      </w:r>
      <w:r w:rsidRPr="0097563C">
        <w:rPr>
          <w:sz w:val="24"/>
          <w:szCs w:val="24"/>
        </w:rPr>
        <w:t xml:space="preserve"> </w:t>
      </w:r>
      <w:r w:rsidRPr="00CE4180">
        <w:rPr>
          <w:sz w:val="24"/>
          <w:szCs w:val="24"/>
        </w:rPr>
        <w:t>En az üçer aylık raporlamada portföy değerlemeleri.</w:t>
      </w:r>
    </w:p>
    <w:p w14:paraId="61A301CF" w14:textId="77777777" w:rsidR="00E609AB" w:rsidRPr="0097563C" w:rsidRDefault="00E609AB" w:rsidP="0097563C">
      <w:pPr>
        <w:numPr>
          <w:ilvl w:val="0"/>
          <w:numId w:val="6"/>
        </w:numPr>
        <w:spacing w:before="120" w:after="120"/>
        <w:jc w:val="both"/>
        <w:rPr>
          <w:sz w:val="24"/>
          <w:szCs w:val="24"/>
        </w:rPr>
      </w:pPr>
      <w:r w:rsidRPr="0097563C">
        <w:rPr>
          <w:b/>
          <w:bCs/>
          <w:sz w:val="24"/>
          <w:szCs w:val="24"/>
        </w:rPr>
        <w:t>Bağımsız denetim:</w:t>
      </w:r>
      <w:r w:rsidRPr="0097563C">
        <w:rPr>
          <w:sz w:val="24"/>
          <w:szCs w:val="24"/>
        </w:rPr>
        <w:t xml:space="preserve"> Yıllık olarak bağımsız denetim kuruluşu tarafından incelenmiş rapor zorunluluğu.</w:t>
      </w:r>
    </w:p>
    <w:p w14:paraId="45895EE1" w14:textId="77777777" w:rsidR="00E609AB" w:rsidRPr="0097563C" w:rsidRDefault="00E609AB" w:rsidP="0097563C">
      <w:pPr>
        <w:numPr>
          <w:ilvl w:val="0"/>
          <w:numId w:val="6"/>
        </w:numPr>
        <w:spacing w:before="120" w:after="120"/>
        <w:jc w:val="both"/>
        <w:rPr>
          <w:sz w:val="24"/>
          <w:szCs w:val="24"/>
        </w:rPr>
      </w:pPr>
      <w:r w:rsidRPr="0097563C">
        <w:rPr>
          <w:b/>
          <w:bCs/>
          <w:sz w:val="24"/>
          <w:szCs w:val="24"/>
        </w:rPr>
        <w:t>Şeffaflık:</w:t>
      </w:r>
      <w:r w:rsidRPr="0097563C">
        <w:rPr>
          <w:sz w:val="24"/>
          <w:szCs w:val="24"/>
        </w:rPr>
        <w:t xml:space="preserve"> Varsayımlar, çarpanlar, metodoloji raporda açıklanır.</w:t>
      </w:r>
    </w:p>
    <w:p w14:paraId="0B4469E3" w14:textId="0EDFA3E6" w:rsidR="00E609AB" w:rsidRPr="0097563C" w:rsidRDefault="00E8653C" w:rsidP="0097563C">
      <w:pPr>
        <w:spacing w:before="120" w:after="120"/>
        <w:jc w:val="both"/>
        <w:rPr>
          <w:b/>
          <w:bCs/>
          <w:sz w:val="24"/>
          <w:szCs w:val="24"/>
        </w:rPr>
      </w:pPr>
      <w:r>
        <w:rPr>
          <w:b/>
          <w:bCs/>
          <w:sz w:val="24"/>
          <w:szCs w:val="24"/>
        </w:rPr>
        <w:t>8</w:t>
      </w:r>
      <w:r w:rsidR="00E609AB" w:rsidRPr="0097563C">
        <w:rPr>
          <w:b/>
          <w:bCs/>
          <w:sz w:val="24"/>
          <w:szCs w:val="24"/>
        </w:rPr>
        <w:t>. Ücretler ve Masraflar</w:t>
      </w:r>
    </w:p>
    <w:p w14:paraId="3341AB29" w14:textId="106F9FEA" w:rsidR="002E2614" w:rsidRDefault="00C54FF9" w:rsidP="002E2614">
      <w:pPr>
        <w:numPr>
          <w:ilvl w:val="0"/>
          <w:numId w:val="7"/>
        </w:numPr>
        <w:spacing w:before="120" w:after="120"/>
        <w:jc w:val="both"/>
        <w:rPr>
          <w:sz w:val="24"/>
          <w:szCs w:val="24"/>
        </w:rPr>
      </w:pPr>
      <w:r>
        <w:rPr>
          <w:b/>
          <w:bCs/>
          <w:sz w:val="24"/>
          <w:szCs w:val="24"/>
        </w:rPr>
        <w:t>Yönetim Ücreti</w:t>
      </w:r>
    </w:p>
    <w:p w14:paraId="3BD84CAF" w14:textId="3E2DF782" w:rsidR="002E2614" w:rsidRDefault="002E2614" w:rsidP="002E2614">
      <w:pPr>
        <w:numPr>
          <w:ilvl w:val="0"/>
          <w:numId w:val="7"/>
        </w:numPr>
        <w:spacing w:before="120" w:after="120"/>
        <w:jc w:val="both"/>
        <w:rPr>
          <w:sz w:val="24"/>
          <w:szCs w:val="24"/>
        </w:rPr>
      </w:pPr>
      <w:r w:rsidRPr="002E2614">
        <w:rPr>
          <w:b/>
          <w:bCs/>
          <w:color w:val="000000" w:themeColor="text1"/>
          <w:sz w:val="24"/>
          <w:szCs w:val="24"/>
        </w:rPr>
        <w:t>Sabit Masraflar</w:t>
      </w:r>
    </w:p>
    <w:p w14:paraId="53E5CEB6" w14:textId="247B56B3" w:rsidR="002E2614" w:rsidRPr="002E2614" w:rsidRDefault="00E609AB" w:rsidP="002E2614">
      <w:pPr>
        <w:numPr>
          <w:ilvl w:val="0"/>
          <w:numId w:val="7"/>
        </w:numPr>
        <w:spacing w:before="120" w:after="120"/>
        <w:jc w:val="both"/>
        <w:rPr>
          <w:sz w:val="24"/>
          <w:szCs w:val="24"/>
        </w:rPr>
      </w:pPr>
      <w:r w:rsidRPr="002E2614">
        <w:rPr>
          <w:b/>
          <w:bCs/>
          <w:sz w:val="24"/>
          <w:szCs w:val="24"/>
        </w:rPr>
        <w:t xml:space="preserve">Kuruluş </w:t>
      </w:r>
      <w:r w:rsidR="002E2614">
        <w:rPr>
          <w:b/>
          <w:bCs/>
          <w:sz w:val="24"/>
          <w:szCs w:val="24"/>
        </w:rPr>
        <w:t>M</w:t>
      </w:r>
      <w:r w:rsidRPr="002E2614">
        <w:rPr>
          <w:b/>
          <w:bCs/>
          <w:sz w:val="24"/>
          <w:szCs w:val="24"/>
        </w:rPr>
        <w:t>asrafları</w:t>
      </w:r>
    </w:p>
    <w:p w14:paraId="7531A4CD" w14:textId="63AB1640" w:rsidR="009F778B" w:rsidRDefault="002E2614" w:rsidP="006B1809">
      <w:pPr>
        <w:numPr>
          <w:ilvl w:val="0"/>
          <w:numId w:val="7"/>
        </w:numPr>
        <w:spacing w:before="120" w:after="120"/>
        <w:jc w:val="both"/>
        <w:rPr>
          <w:b/>
          <w:bCs/>
          <w:sz w:val="24"/>
          <w:szCs w:val="24"/>
        </w:rPr>
      </w:pPr>
      <w:r w:rsidRPr="009F778B">
        <w:rPr>
          <w:b/>
          <w:bCs/>
          <w:sz w:val="24"/>
          <w:szCs w:val="24"/>
        </w:rPr>
        <w:t>Performans Ücreti</w:t>
      </w:r>
    </w:p>
    <w:p w14:paraId="35E1C4CC" w14:textId="2E6AFDB7" w:rsidR="001158B5" w:rsidRPr="006F659D" w:rsidRDefault="001158B5" w:rsidP="006F659D">
      <w:pPr>
        <w:numPr>
          <w:ilvl w:val="0"/>
          <w:numId w:val="7"/>
        </w:numPr>
        <w:spacing w:before="120" w:after="120" w:line="360" w:lineRule="auto"/>
        <w:jc w:val="both"/>
        <w:rPr>
          <w:sz w:val="24"/>
          <w:szCs w:val="24"/>
        </w:rPr>
      </w:pPr>
      <w:r>
        <w:rPr>
          <w:b/>
          <w:bCs/>
          <w:sz w:val="24"/>
          <w:szCs w:val="24"/>
        </w:rPr>
        <w:t xml:space="preserve">Eşik </w:t>
      </w:r>
      <w:r w:rsidR="000F3C60">
        <w:rPr>
          <w:b/>
          <w:bCs/>
          <w:sz w:val="24"/>
          <w:szCs w:val="24"/>
        </w:rPr>
        <w:t>Değer</w:t>
      </w:r>
      <w:r>
        <w:rPr>
          <w:b/>
          <w:bCs/>
          <w:sz w:val="24"/>
          <w:szCs w:val="24"/>
        </w:rPr>
        <w:t xml:space="preserve">: </w:t>
      </w:r>
      <w:r w:rsidRPr="006F659D">
        <w:rPr>
          <w:sz w:val="24"/>
          <w:szCs w:val="24"/>
        </w:rPr>
        <w:t xml:space="preserve">Her bir </w:t>
      </w:r>
      <w:proofErr w:type="spellStart"/>
      <w:r w:rsidRPr="006F659D">
        <w:rPr>
          <w:sz w:val="24"/>
          <w:szCs w:val="24"/>
        </w:rPr>
        <w:t>Yatırımcı’nın</w:t>
      </w:r>
      <w:proofErr w:type="spellEnd"/>
      <w:r w:rsidRPr="006F659D">
        <w:rPr>
          <w:sz w:val="24"/>
          <w:szCs w:val="24"/>
        </w:rPr>
        <w:t xml:space="preserve"> yaptığı Kaynak ödemesi ilgili ayın son günü ve her bir </w:t>
      </w:r>
      <w:proofErr w:type="spellStart"/>
      <w:r w:rsidRPr="006F659D">
        <w:rPr>
          <w:sz w:val="24"/>
          <w:szCs w:val="24"/>
        </w:rPr>
        <w:t>Yatırımcı’ya</w:t>
      </w:r>
      <w:proofErr w:type="spellEnd"/>
      <w:r w:rsidRPr="006F659D">
        <w:rPr>
          <w:sz w:val="24"/>
          <w:szCs w:val="24"/>
        </w:rPr>
        <w:t xml:space="preserve"> yapılan </w:t>
      </w:r>
      <w:proofErr w:type="spellStart"/>
      <w:r w:rsidRPr="006F659D">
        <w:rPr>
          <w:sz w:val="24"/>
          <w:szCs w:val="24"/>
        </w:rPr>
        <w:t>Dağıtım’lar</w:t>
      </w:r>
      <w:proofErr w:type="spellEnd"/>
      <w:r w:rsidRPr="006F659D">
        <w:rPr>
          <w:sz w:val="24"/>
          <w:szCs w:val="24"/>
        </w:rPr>
        <w:t xml:space="preserve"> ilgili ayın ilk günü yapılmış sayılacaktır. </w:t>
      </w:r>
    </w:p>
    <w:p w14:paraId="1FCADFE1" w14:textId="595786A2" w:rsidR="001158B5" w:rsidRPr="006F659D" w:rsidRDefault="001158B5" w:rsidP="006F659D">
      <w:pPr>
        <w:spacing w:before="120" w:after="120" w:line="360" w:lineRule="auto"/>
        <w:ind w:left="720"/>
        <w:jc w:val="both"/>
        <w:rPr>
          <w:sz w:val="24"/>
          <w:szCs w:val="24"/>
        </w:rPr>
      </w:pPr>
      <w:r w:rsidRPr="006F659D">
        <w:rPr>
          <w:sz w:val="24"/>
          <w:szCs w:val="24"/>
        </w:rPr>
        <w:t xml:space="preserve">Her bir Mali Hesap Dönemi içinde her bir </w:t>
      </w:r>
      <w:proofErr w:type="spellStart"/>
      <w:r w:rsidRPr="006F659D">
        <w:rPr>
          <w:sz w:val="24"/>
          <w:szCs w:val="24"/>
        </w:rPr>
        <w:t>Yatırımcı’nın</w:t>
      </w:r>
      <w:proofErr w:type="spellEnd"/>
      <w:r w:rsidRPr="006F659D">
        <w:rPr>
          <w:sz w:val="24"/>
          <w:szCs w:val="24"/>
        </w:rPr>
        <w:t xml:space="preserve"> yaptığı Kaynak ödemesine; Mali Hesap Dönemi sonuna kadar geçecek her ay için aylık TÜFE+(100 Baz</w:t>
      </w:r>
      <w:r w:rsidR="006F659D" w:rsidRPr="006F659D">
        <w:rPr>
          <w:sz w:val="24"/>
          <w:szCs w:val="24"/>
        </w:rPr>
        <w:t xml:space="preserve"> Puan / 12) oranı uygulanarak hesaplanan toplam tutar ilgili Mali Hesap Dönemi sonuna kadar taşınacaktır. İlgili Mali Hesap Dönemi için hesaplanan tutara Dağıtım tarihine kadar takip eden her bir Mali Hesap Dönemi için yıllık TÜFE+(100 Baz Puan) eklenecektir. Dağıtımında yapıldığı Mali Hesap Dönemi içinde geçecek aylar için hesaplanacak tutar ise ilgili her ay için aylık TÜFE+(100 Baz Puan / 12) oranı uygulanarak hesaplanacaktır. Dağı</w:t>
      </w:r>
      <w:r w:rsidR="006F659D">
        <w:rPr>
          <w:sz w:val="24"/>
          <w:szCs w:val="24"/>
        </w:rPr>
        <w:t>t</w:t>
      </w:r>
      <w:r w:rsidR="006F659D" w:rsidRPr="006F659D">
        <w:rPr>
          <w:sz w:val="24"/>
          <w:szCs w:val="24"/>
        </w:rPr>
        <w:t>ım tarihine kadar bu şekilde hesaplanacak tutarların toplamı “Eşik Getiri” olarak ifade edilecektir.</w:t>
      </w:r>
    </w:p>
    <w:p w14:paraId="15F2FEA1" w14:textId="349F7643" w:rsidR="00E609AB" w:rsidRPr="009F778B" w:rsidRDefault="00E8653C" w:rsidP="009F778B">
      <w:pPr>
        <w:spacing w:before="120" w:after="120"/>
        <w:jc w:val="both"/>
        <w:rPr>
          <w:b/>
          <w:bCs/>
          <w:sz w:val="24"/>
          <w:szCs w:val="24"/>
        </w:rPr>
      </w:pPr>
      <w:r>
        <w:rPr>
          <w:b/>
          <w:bCs/>
          <w:sz w:val="24"/>
          <w:szCs w:val="24"/>
        </w:rPr>
        <w:lastRenderedPageBreak/>
        <w:t>9</w:t>
      </w:r>
      <w:r w:rsidR="00E609AB" w:rsidRPr="009F778B">
        <w:rPr>
          <w:b/>
          <w:bCs/>
          <w:sz w:val="24"/>
          <w:szCs w:val="24"/>
        </w:rPr>
        <w:t>. Dağıtım ve Mahsup Esasları</w:t>
      </w:r>
    </w:p>
    <w:p w14:paraId="261F14CC" w14:textId="34613BE4" w:rsidR="00E609AB" w:rsidRPr="0097563C" w:rsidRDefault="006F659D" w:rsidP="0097563C">
      <w:pPr>
        <w:numPr>
          <w:ilvl w:val="0"/>
          <w:numId w:val="8"/>
        </w:numPr>
        <w:spacing w:before="120" w:after="120"/>
        <w:jc w:val="both"/>
        <w:rPr>
          <w:sz w:val="24"/>
          <w:szCs w:val="24"/>
        </w:rPr>
      </w:pPr>
      <w:r>
        <w:rPr>
          <w:b/>
          <w:bCs/>
          <w:sz w:val="24"/>
          <w:szCs w:val="24"/>
        </w:rPr>
        <w:t>Dağıtım</w:t>
      </w:r>
      <w:r w:rsidR="00E609AB" w:rsidRPr="0097563C">
        <w:rPr>
          <w:b/>
          <w:bCs/>
          <w:sz w:val="24"/>
          <w:szCs w:val="24"/>
        </w:rPr>
        <w:t xml:space="preserve"> sırası:</w:t>
      </w:r>
    </w:p>
    <w:p w14:paraId="116D9354" w14:textId="77777777" w:rsidR="00E609AB" w:rsidRPr="0097563C" w:rsidRDefault="00E609AB" w:rsidP="0097563C">
      <w:pPr>
        <w:numPr>
          <w:ilvl w:val="1"/>
          <w:numId w:val="8"/>
        </w:numPr>
        <w:spacing w:before="120" w:after="120"/>
        <w:jc w:val="both"/>
        <w:rPr>
          <w:sz w:val="24"/>
          <w:szCs w:val="24"/>
        </w:rPr>
      </w:pPr>
      <w:r w:rsidRPr="0097563C">
        <w:rPr>
          <w:sz w:val="24"/>
          <w:szCs w:val="24"/>
        </w:rPr>
        <w:t>Sermayenin iadesi,</w:t>
      </w:r>
    </w:p>
    <w:p w14:paraId="33B9C05A" w14:textId="48A5F5DC" w:rsidR="00E609AB" w:rsidRPr="0097563C" w:rsidRDefault="00176A44" w:rsidP="0097563C">
      <w:pPr>
        <w:numPr>
          <w:ilvl w:val="1"/>
          <w:numId w:val="8"/>
        </w:numPr>
        <w:spacing w:before="120" w:after="120"/>
        <w:jc w:val="both"/>
        <w:rPr>
          <w:sz w:val="24"/>
          <w:szCs w:val="24"/>
        </w:rPr>
      </w:pPr>
      <w:r>
        <w:rPr>
          <w:sz w:val="24"/>
          <w:szCs w:val="24"/>
        </w:rPr>
        <w:t>Eşik getirinin dağıtılması</w:t>
      </w:r>
      <w:r w:rsidR="00E609AB" w:rsidRPr="0097563C">
        <w:rPr>
          <w:sz w:val="24"/>
          <w:szCs w:val="24"/>
        </w:rPr>
        <w:t>,</w:t>
      </w:r>
    </w:p>
    <w:p w14:paraId="7815176E" w14:textId="03730CCB" w:rsidR="00E609AB" w:rsidRPr="0097563C" w:rsidRDefault="00176A44" w:rsidP="0097563C">
      <w:pPr>
        <w:numPr>
          <w:ilvl w:val="1"/>
          <w:numId w:val="8"/>
        </w:numPr>
        <w:spacing w:before="120" w:after="120"/>
        <w:jc w:val="both"/>
        <w:rPr>
          <w:sz w:val="24"/>
          <w:szCs w:val="24"/>
        </w:rPr>
      </w:pPr>
      <w:r>
        <w:rPr>
          <w:sz w:val="24"/>
          <w:szCs w:val="24"/>
        </w:rPr>
        <w:t>Performans ücretinin ödenmesi,</w:t>
      </w:r>
    </w:p>
    <w:p w14:paraId="5C30D5E3" w14:textId="1213EF33" w:rsidR="00E609AB" w:rsidRPr="0097563C" w:rsidRDefault="00176A44" w:rsidP="0097563C">
      <w:pPr>
        <w:numPr>
          <w:ilvl w:val="1"/>
          <w:numId w:val="8"/>
        </w:numPr>
        <w:spacing w:before="120" w:after="120"/>
        <w:jc w:val="both"/>
        <w:rPr>
          <w:sz w:val="24"/>
          <w:szCs w:val="24"/>
        </w:rPr>
      </w:pPr>
      <w:r>
        <w:rPr>
          <w:sz w:val="24"/>
          <w:szCs w:val="24"/>
        </w:rPr>
        <w:t>Kar paylaşımı.</w:t>
      </w:r>
    </w:p>
    <w:p w14:paraId="53AFE158" w14:textId="77777777" w:rsidR="005352D8" w:rsidRDefault="00E609AB" w:rsidP="005352D8">
      <w:pPr>
        <w:numPr>
          <w:ilvl w:val="0"/>
          <w:numId w:val="8"/>
        </w:numPr>
        <w:spacing w:before="120" w:after="120"/>
        <w:jc w:val="both"/>
        <w:rPr>
          <w:sz w:val="24"/>
          <w:szCs w:val="24"/>
        </w:rPr>
      </w:pPr>
      <w:r w:rsidRPr="0097563C">
        <w:rPr>
          <w:b/>
          <w:bCs/>
          <w:sz w:val="24"/>
          <w:szCs w:val="24"/>
        </w:rPr>
        <w:t>Mahsup:</w:t>
      </w:r>
      <w:r w:rsidRPr="0097563C">
        <w:rPr>
          <w:sz w:val="24"/>
          <w:szCs w:val="24"/>
        </w:rPr>
        <w:t xml:space="preserve"> KOSGEB’in ödemeleri kamu muhasebe kuralları çerçevesinde mahsuplaşır</w:t>
      </w:r>
      <w:r w:rsidR="005352D8">
        <w:rPr>
          <w:sz w:val="24"/>
          <w:szCs w:val="24"/>
        </w:rPr>
        <w:t>.</w:t>
      </w:r>
    </w:p>
    <w:p w14:paraId="184B327D" w14:textId="6488C729" w:rsidR="005352D8" w:rsidRPr="005352D8" w:rsidRDefault="005352D8" w:rsidP="005352D8">
      <w:pPr>
        <w:numPr>
          <w:ilvl w:val="0"/>
          <w:numId w:val="8"/>
        </w:numPr>
        <w:spacing w:before="120" w:after="120"/>
        <w:jc w:val="both"/>
        <w:rPr>
          <w:sz w:val="24"/>
          <w:szCs w:val="24"/>
        </w:rPr>
      </w:pPr>
      <w:r w:rsidRPr="00185FFC">
        <w:rPr>
          <w:b/>
          <w:bCs/>
          <w:color w:val="000000" w:themeColor="text1"/>
          <w:sz w:val="24"/>
          <w:szCs w:val="24"/>
        </w:rPr>
        <w:t>İade:</w:t>
      </w:r>
      <w:r>
        <w:rPr>
          <w:color w:val="000000" w:themeColor="text1"/>
          <w:sz w:val="24"/>
          <w:szCs w:val="24"/>
        </w:rPr>
        <w:t xml:space="preserve"> </w:t>
      </w:r>
      <w:r w:rsidRPr="003F09C1">
        <w:rPr>
          <w:color w:val="000000" w:themeColor="text1"/>
          <w:sz w:val="24"/>
          <w:szCs w:val="24"/>
        </w:rPr>
        <w:t xml:space="preserve">Fonun tasfiyesi ve/veya faaliyetlerinin süresinden önce sona ermesi durumunda, fona aktarılan kaynağın anapara tutarı ile varsa bu tutara isabet eden </w:t>
      </w:r>
      <w:proofErr w:type="gramStart"/>
      <w:r w:rsidRPr="003F09C1">
        <w:rPr>
          <w:color w:val="000000" w:themeColor="text1"/>
          <w:sz w:val="24"/>
          <w:szCs w:val="24"/>
        </w:rPr>
        <w:t>kar</w:t>
      </w:r>
      <w:proofErr w:type="gramEnd"/>
      <w:r w:rsidRPr="003F09C1">
        <w:rPr>
          <w:color w:val="000000" w:themeColor="text1"/>
          <w:sz w:val="24"/>
          <w:szCs w:val="24"/>
        </w:rPr>
        <w:t xml:space="preserve"> payı, fona ödenen masraflar ve ücretler düşüldükten sonra katılma payı ölçüsünde Başkanlık bütçesine gelir kaydedilmek üzere fonun Türkiye’deki </w:t>
      </w:r>
      <w:r>
        <w:rPr>
          <w:color w:val="000000" w:themeColor="text1"/>
          <w:sz w:val="24"/>
          <w:szCs w:val="24"/>
        </w:rPr>
        <w:t>…</w:t>
      </w:r>
      <w:r w:rsidRPr="003F09C1">
        <w:rPr>
          <w:color w:val="000000" w:themeColor="text1"/>
          <w:sz w:val="24"/>
          <w:szCs w:val="24"/>
        </w:rPr>
        <w:t xml:space="preserve"> hesabından Başkanlığın </w:t>
      </w:r>
      <w:r>
        <w:rPr>
          <w:color w:val="000000" w:themeColor="text1"/>
          <w:sz w:val="24"/>
          <w:szCs w:val="24"/>
        </w:rPr>
        <w:t xml:space="preserve">…. </w:t>
      </w:r>
      <w:proofErr w:type="gramStart"/>
      <w:r w:rsidRPr="003F09C1">
        <w:rPr>
          <w:color w:val="000000" w:themeColor="text1"/>
          <w:sz w:val="24"/>
          <w:szCs w:val="24"/>
        </w:rPr>
        <w:t>hesabına</w:t>
      </w:r>
      <w:proofErr w:type="gramEnd"/>
      <w:r w:rsidRPr="003F09C1">
        <w:rPr>
          <w:color w:val="000000" w:themeColor="text1"/>
          <w:sz w:val="24"/>
          <w:szCs w:val="24"/>
        </w:rPr>
        <w:t xml:space="preserve"> </w:t>
      </w:r>
      <w:r>
        <w:rPr>
          <w:color w:val="000000" w:themeColor="text1"/>
          <w:sz w:val="24"/>
          <w:szCs w:val="24"/>
        </w:rPr>
        <w:t xml:space="preserve">…. </w:t>
      </w:r>
      <w:proofErr w:type="gramStart"/>
      <w:r>
        <w:rPr>
          <w:color w:val="000000" w:themeColor="text1"/>
          <w:sz w:val="24"/>
          <w:szCs w:val="24"/>
        </w:rPr>
        <w:t>gün</w:t>
      </w:r>
      <w:proofErr w:type="gramEnd"/>
      <w:r>
        <w:rPr>
          <w:color w:val="000000" w:themeColor="text1"/>
          <w:sz w:val="24"/>
          <w:szCs w:val="24"/>
        </w:rPr>
        <w:t xml:space="preserve"> </w:t>
      </w:r>
      <w:r w:rsidRPr="003F09C1">
        <w:rPr>
          <w:color w:val="000000" w:themeColor="text1"/>
          <w:sz w:val="24"/>
          <w:szCs w:val="24"/>
        </w:rPr>
        <w:t>içerisinde yatırılır.</w:t>
      </w:r>
    </w:p>
    <w:p w14:paraId="3F53BFC1" w14:textId="6E4D57C8" w:rsidR="00E609AB" w:rsidRPr="0097563C" w:rsidRDefault="00E8653C" w:rsidP="0097563C">
      <w:pPr>
        <w:spacing w:before="120" w:after="120"/>
        <w:jc w:val="both"/>
        <w:rPr>
          <w:b/>
          <w:bCs/>
          <w:sz w:val="24"/>
          <w:szCs w:val="24"/>
        </w:rPr>
      </w:pPr>
      <w:r>
        <w:rPr>
          <w:b/>
          <w:bCs/>
          <w:sz w:val="24"/>
          <w:szCs w:val="24"/>
        </w:rPr>
        <w:t>10</w:t>
      </w:r>
      <w:r w:rsidR="00E609AB" w:rsidRPr="0097563C">
        <w:rPr>
          <w:b/>
          <w:bCs/>
          <w:sz w:val="24"/>
          <w:szCs w:val="24"/>
        </w:rPr>
        <w:t>. İzleme, Denetim ve Raporlama</w:t>
      </w:r>
    </w:p>
    <w:p w14:paraId="0AF03120" w14:textId="3CF454E9" w:rsidR="00E609AB" w:rsidRPr="0097563C" w:rsidRDefault="00E609AB" w:rsidP="0097563C">
      <w:pPr>
        <w:numPr>
          <w:ilvl w:val="0"/>
          <w:numId w:val="9"/>
        </w:numPr>
        <w:spacing w:before="120" w:after="120"/>
        <w:jc w:val="both"/>
        <w:rPr>
          <w:sz w:val="24"/>
          <w:szCs w:val="24"/>
        </w:rPr>
      </w:pPr>
      <w:r w:rsidRPr="0097563C">
        <w:rPr>
          <w:b/>
          <w:bCs/>
          <w:sz w:val="24"/>
          <w:szCs w:val="24"/>
        </w:rPr>
        <w:t>Raporlama periyodu:</w:t>
      </w:r>
      <w:r w:rsidRPr="0097563C">
        <w:rPr>
          <w:sz w:val="24"/>
          <w:szCs w:val="24"/>
        </w:rPr>
        <w:t xml:space="preserve"> Üçer aylık</w:t>
      </w:r>
      <w:r w:rsidR="00F42460">
        <w:rPr>
          <w:sz w:val="24"/>
          <w:szCs w:val="24"/>
        </w:rPr>
        <w:t xml:space="preserve"> ve yıllık</w:t>
      </w:r>
      <w:r w:rsidRPr="0097563C">
        <w:rPr>
          <w:sz w:val="24"/>
          <w:szCs w:val="24"/>
        </w:rPr>
        <w:t xml:space="preserve"> performans raporları.</w:t>
      </w:r>
    </w:p>
    <w:p w14:paraId="3B993C37" w14:textId="1E5C3D94" w:rsidR="00E609AB" w:rsidRPr="0097563C" w:rsidRDefault="00E609AB" w:rsidP="0097563C">
      <w:pPr>
        <w:numPr>
          <w:ilvl w:val="0"/>
          <w:numId w:val="9"/>
        </w:numPr>
        <w:spacing w:before="120" w:after="120"/>
        <w:jc w:val="both"/>
        <w:rPr>
          <w:sz w:val="24"/>
          <w:szCs w:val="24"/>
        </w:rPr>
      </w:pPr>
      <w:r w:rsidRPr="0097563C">
        <w:rPr>
          <w:b/>
          <w:bCs/>
          <w:sz w:val="24"/>
          <w:szCs w:val="24"/>
        </w:rPr>
        <w:t>İçerik:</w:t>
      </w:r>
      <w:r w:rsidRPr="0097563C">
        <w:rPr>
          <w:sz w:val="24"/>
          <w:szCs w:val="24"/>
        </w:rPr>
        <w:t xml:space="preserve"> Yatırımlar, sektör dağılımı, </w:t>
      </w:r>
      <w:r w:rsidR="00F42460">
        <w:rPr>
          <w:sz w:val="24"/>
          <w:szCs w:val="24"/>
        </w:rPr>
        <w:t>ÇSY</w:t>
      </w:r>
      <w:r w:rsidRPr="0097563C">
        <w:rPr>
          <w:sz w:val="24"/>
          <w:szCs w:val="24"/>
        </w:rPr>
        <w:t xml:space="preserve"> performansı, yabancı yatırımcı oranı, risk raporu</w:t>
      </w:r>
      <w:r w:rsidR="00F42460">
        <w:rPr>
          <w:sz w:val="24"/>
          <w:szCs w:val="24"/>
        </w:rPr>
        <w:t xml:space="preserve"> vb.</w:t>
      </w:r>
    </w:p>
    <w:p w14:paraId="00A7EE8A" w14:textId="711719B9" w:rsidR="00E609AB" w:rsidRPr="0097563C" w:rsidRDefault="00E609AB" w:rsidP="0097563C">
      <w:pPr>
        <w:numPr>
          <w:ilvl w:val="0"/>
          <w:numId w:val="9"/>
        </w:numPr>
        <w:spacing w:before="120" w:after="120"/>
        <w:jc w:val="both"/>
        <w:rPr>
          <w:sz w:val="24"/>
          <w:szCs w:val="24"/>
        </w:rPr>
      </w:pPr>
      <w:r w:rsidRPr="0097563C">
        <w:rPr>
          <w:b/>
          <w:bCs/>
          <w:sz w:val="24"/>
          <w:szCs w:val="24"/>
        </w:rPr>
        <w:t>Denetim hakkı:</w:t>
      </w:r>
      <w:r w:rsidRPr="0097563C">
        <w:rPr>
          <w:sz w:val="24"/>
          <w:szCs w:val="24"/>
        </w:rPr>
        <w:t xml:space="preserve"> KOSGEB’in inceleme, belge talep etme hakkı.</w:t>
      </w:r>
    </w:p>
    <w:p w14:paraId="4576CE78" w14:textId="704A6524" w:rsidR="00E609AB" w:rsidRPr="0097563C" w:rsidRDefault="00F42460" w:rsidP="0097563C">
      <w:pPr>
        <w:numPr>
          <w:ilvl w:val="0"/>
          <w:numId w:val="9"/>
        </w:numPr>
        <w:spacing w:before="120" w:after="120"/>
        <w:jc w:val="both"/>
        <w:rPr>
          <w:sz w:val="24"/>
          <w:szCs w:val="24"/>
        </w:rPr>
      </w:pPr>
      <w:r>
        <w:rPr>
          <w:b/>
          <w:bCs/>
          <w:sz w:val="24"/>
          <w:szCs w:val="24"/>
        </w:rPr>
        <w:t>KOBİ Bilgi Sistemi</w:t>
      </w:r>
      <w:r w:rsidR="00E609AB" w:rsidRPr="0097563C">
        <w:rPr>
          <w:b/>
          <w:bCs/>
          <w:sz w:val="24"/>
          <w:szCs w:val="24"/>
        </w:rPr>
        <w:t>:</w:t>
      </w:r>
      <w:r w:rsidR="00E609AB" w:rsidRPr="0097563C">
        <w:rPr>
          <w:sz w:val="24"/>
          <w:szCs w:val="24"/>
        </w:rPr>
        <w:t xml:space="preserve"> Dijital raporlama altyapısının açık tutulması.</w:t>
      </w:r>
    </w:p>
    <w:p w14:paraId="79279728" w14:textId="282D7AC2" w:rsidR="00E609AB" w:rsidRPr="0097563C" w:rsidRDefault="00E609AB" w:rsidP="0097563C">
      <w:pPr>
        <w:spacing w:before="120" w:after="120"/>
        <w:jc w:val="both"/>
        <w:rPr>
          <w:b/>
          <w:bCs/>
          <w:sz w:val="24"/>
          <w:szCs w:val="24"/>
        </w:rPr>
      </w:pPr>
      <w:r w:rsidRPr="0097563C">
        <w:rPr>
          <w:b/>
          <w:bCs/>
          <w:sz w:val="24"/>
          <w:szCs w:val="24"/>
        </w:rPr>
        <w:t>1</w:t>
      </w:r>
      <w:r w:rsidR="00E8653C">
        <w:rPr>
          <w:b/>
          <w:bCs/>
          <w:sz w:val="24"/>
          <w:szCs w:val="24"/>
        </w:rPr>
        <w:t>1</w:t>
      </w:r>
      <w:r w:rsidRPr="0097563C">
        <w:rPr>
          <w:b/>
          <w:bCs/>
          <w:sz w:val="24"/>
          <w:szCs w:val="24"/>
        </w:rPr>
        <w:t>. Uyum Yükümlülükleri</w:t>
      </w:r>
    </w:p>
    <w:p w14:paraId="7EDEE51F" w14:textId="66E445AE" w:rsidR="00E609AB" w:rsidRPr="0097563C" w:rsidRDefault="00F42460" w:rsidP="0097563C">
      <w:pPr>
        <w:numPr>
          <w:ilvl w:val="0"/>
          <w:numId w:val="10"/>
        </w:numPr>
        <w:spacing w:before="120" w:after="120"/>
        <w:jc w:val="both"/>
        <w:rPr>
          <w:sz w:val="24"/>
          <w:szCs w:val="24"/>
        </w:rPr>
      </w:pPr>
      <w:r>
        <w:rPr>
          <w:b/>
          <w:bCs/>
          <w:sz w:val="24"/>
          <w:szCs w:val="24"/>
        </w:rPr>
        <w:t>ÇSY</w:t>
      </w:r>
      <w:r w:rsidR="00E609AB" w:rsidRPr="0097563C">
        <w:rPr>
          <w:b/>
          <w:bCs/>
          <w:sz w:val="24"/>
          <w:szCs w:val="24"/>
        </w:rPr>
        <w:t>:</w:t>
      </w:r>
      <w:r w:rsidR="00E609AB" w:rsidRPr="0097563C">
        <w:rPr>
          <w:sz w:val="24"/>
          <w:szCs w:val="24"/>
        </w:rPr>
        <w:t xml:space="preserve"> ÇSY kriterlerine uygunluk, yıllık </w:t>
      </w:r>
      <w:r>
        <w:rPr>
          <w:sz w:val="24"/>
          <w:szCs w:val="24"/>
        </w:rPr>
        <w:t>ÇSY</w:t>
      </w:r>
      <w:r w:rsidR="00E609AB" w:rsidRPr="0097563C">
        <w:rPr>
          <w:sz w:val="24"/>
          <w:szCs w:val="24"/>
        </w:rPr>
        <w:t xml:space="preserve"> raporu.</w:t>
      </w:r>
    </w:p>
    <w:p w14:paraId="51A39B4E" w14:textId="77777777" w:rsidR="00BA18B8" w:rsidRPr="00BA18B8" w:rsidRDefault="00F42460" w:rsidP="00B3129F">
      <w:pPr>
        <w:numPr>
          <w:ilvl w:val="0"/>
          <w:numId w:val="10"/>
        </w:numPr>
        <w:spacing w:before="120" w:after="120"/>
        <w:jc w:val="both"/>
        <w:rPr>
          <w:sz w:val="24"/>
          <w:szCs w:val="24"/>
        </w:rPr>
      </w:pPr>
      <w:r w:rsidRPr="00BA18B8">
        <w:rPr>
          <w:b/>
          <w:bCs/>
          <w:sz w:val="24"/>
          <w:szCs w:val="24"/>
        </w:rPr>
        <w:t>Ulusal mevzuata uyum taahhütleri</w:t>
      </w:r>
    </w:p>
    <w:p w14:paraId="3DE5FAF3" w14:textId="6B5FB4AF" w:rsidR="00BA18B8" w:rsidRPr="00E43571" w:rsidRDefault="00E609AB" w:rsidP="00B3129F">
      <w:pPr>
        <w:numPr>
          <w:ilvl w:val="0"/>
          <w:numId w:val="10"/>
        </w:numPr>
        <w:spacing w:before="120" w:after="120"/>
        <w:jc w:val="both"/>
        <w:rPr>
          <w:sz w:val="24"/>
          <w:szCs w:val="24"/>
        </w:rPr>
      </w:pPr>
      <w:r w:rsidRPr="00E43571">
        <w:rPr>
          <w:b/>
          <w:bCs/>
          <w:sz w:val="24"/>
          <w:szCs w:val="24"/>
        </w:rPr>
        <w:t>KVKK:</w:t>
      </w:r>
      <w:r w:rsidRPr="00E43571">
        <w:rPr>
          <w:sz w:val="24"/>
          <w:szCs w:val="24"/>
        </w:rPr>
        <w:t xml:space="preserve"> Kişisel veri koruma ve gizlilik hükümleri.</w:t>
      </w:r>
    </w:p>
    <w:p w14:paraId="035E8BD1" w14:textId="0D1DDF6B" w:rsidR="00BA18B8" w:rsidRPr="00E43571" w:rsidRDefault="00BA18B8" w:rsidP="00BA18B8">
      <w:pPr>
        <w:numPr>
          <w:ilvl w:val="0"/>
          <w:numId w:val="10"/>
        </w:numPr>
        <w:spacing w:before="120" w:after="120"/>
        <w:jc w:val="both"/>
        <w:rPr>
          <w:sz w:val="24"/>
          <w:szCs w:val="24"/>
        </w:rPr>
      </w:pPr>
      <w:r w:rsidRPr="00E43571">
        <w:rPr>
          <w:b/>
          <w:bCs/>
          <w:sz w:val="24"/>
          <w:szCs w:val="24"/>
        </w:rPr>
        <w:t>Çıkar çatışması ve ilişkili taraf beyanı</w:t>
      </w:r>
      <w:r w:rsidRPr="00E43571">
        <w:rPr>
          <w:sz w:val="24"/>
          <w:szCs w:val="24"/>
        </w:rPr>
        <w:t xml:space="preserve">: Yatırım Komitesi Üyelerinin; </w:t>
      </w:r>
    </w:p>
    <w:p w14:paraId="409E6239" w14:textId="51AD681E" w:rsidR="00BA18B8" w:rsidRPr="00E43571" w:rsidRDefault="00BA18B8" w:rsidP="00BA18B8">
      <w:pPr>
        <w:pStyle w:val="ListeParagraf"/>
        <w:numPr>
          <w:ilvl w:val="0"/>
          <w:numId w:val="21"/>
        </w:numPr>
        <w:spacing w:before="120" w:after="120"/>
        <w:ind w:left="993"/>
        <w:jc w:val="both"/>
        <w:rPr>
          <w:rFonts w:ascii="Times New Roman" w:hAnsi="Times New Roman"/>
          <w:sz w:val="24"/>
          <w:szCs w:val="24"/>
        </w:rPr>
      </w:pPr>
      <w:r w:rsidRPr="00E43571">
        <w:rPr>
          <w:rFonts w:ascii="Times New Roman" w:hAnsi="Times New Roman"/>
          <w:sz w:val="24"/>
          <w:szCs w:val="24"/>
        </w:rPr>
        <w:t xml:space="preserve">Fonun yatırım yaptığı veya yatırım yapmayı planladığı şirketlerde kendisinin ve yakın aile bireylerinin (eş, çocuk, anne-baba, kardeş) doğrudan/dolaylı ortaklığının, </w:t>
      </w:r>
    </w:p>
    <w:p w14:paraId="228DE898" w14:textId="04802D41" w:rsidR="00BA18B8" w:rsidRPr="00E43571" w:rsidRDefault="00BA18B8" w:rsidP="00BA18B8">
      <w:pPr>
        <w:pStyle w:val="ListeParagraf"/>
        <w:numPr>
          <w:ilvl w:val="0"/>
          <w:numId w:val="21"/>
        </w:numPr>
        <w:spacing w:before="120" w:after="120"/>
        <w:ind w:left="993"/>
        <w:jc w:val="both"/>
        <w:rPr>
          <w:rFonts w:ascii="Times New Roman" w:hAnsi="Times New Roman"/>
          <w:sz w:val="24"/>
          <w:szCs w:val="24"/>
        </w:rPr>
      </w:pPr>
      <w:r w:rsidRPr="00E43571">
        <w:rPr>
          <w:rFonts w:ascii="Times New Roman" w:hAnsi="Times New Roman"/>
          <w:sz w:val="24"/>
          <w:szCs w:val="24"/>
        </w:rPr>
        <w:t>Yatırım yapılan şirketlerin yönetim organlarında (Yönetim Kurulu, Danışma Kurulu vb.) görevinin,</w:t>
      </w:r>
    </w:p>
    <w:p w14:paraId="426CE818" w14:textId="77777777" w:rsidR="00BA18B8" w:rsidRPr="00E43571" w:rsidRDefault="00BA18B8" w:rsidP="00BA18B8">
      <w:pPr>
        <w:pStyle w:val="ListeParagraf"/>
        <w:numPr>
          <w:ilvl w:val="0"/>
          <w:numId w:val="21"/>
        </w:numPr>
        <w:spacing w:before="120" w:after="120"/>
        <w:ind w:left="993"/>
        <w:jc w:val="both"/>
        <w:rPr>
          <w:rFonts w:ascii="Times New Roman" w:hAnsi="Times New Roman"/>
          <w:sz w:val="24"/>
          <w:szCs w:val="24"/>
        </w:rPr>
      </w:pPr>
      <w:r w:rsidRPr="00E43571">
        <w:rPr>
          <w:rFonts w:ascii="Times New Roman" w:hAnsi="Times New Roman"/>
          <w:sz w:val="24"/>
          <w:szCs w:val="24"/>
        </w:rPr>
        <w:t>Yatırımlar üzerinde çıkar çatışması yaratabilecek herhangi bir ticari/kişisel ilişkisinin</w:t>
      </w:r>
    </w:p>
    <w:p w14:paraId="353B0CAC" w14:textId="60EE0355" w:rsidR="00BA18B8" w:rsidRPr="00E43571" w:rsidRDefault="00BA18B8" w:rsidP="00BA18B8">
      <w:pPr>
        <w:spacing w:before="120" w:after="120"/>
        <w:ind w:left="720"/>
        <w:jc w:val="both"/>
        <w:rPr>
          <w:sz w:val="24"/>
          <w:szCs w:val="24"/>
        </w:rPr>
      </w:pPr>
      <w:proofErr w:type="gramStart"/>
      <w:r w:rsidRPr="00E43571">
        <w:rPr>
          <w:sz w:val="24"/>
          <w:szCs w:val="24"/>
        </w:rPr>
        <w:t>olmadığını</w:t>
      </w:r>
      <w:proofErr w:type="gramEnd"/>
      <w:r w:rsidRPr="00E43571">
        <w:rPr>
          <w:sz w:val="24"/>
          <w:szCs w:val="24"/>
        </w:rPr>
        <w:t>/olmayacağını kabul, beyan ve taahhüt edilmesi.</w:t>
      </w:r>
    </w:p>
    <w:p w14:paraId="39FE7967" w14:textId="0E3C6471" w:rsidR="00E609AB" w:rsidRPr="0097563C" w:rsidRDefault="00E609AB" w:rsidP="0097563C">
      <w:pPr>
        <w:spacing w:before="120" w:after="120"/>
        <w:jc w:val="both"/>
        <w:rPr>
          <w:b/>
          <w:bCs/>
          <w:sz w:val="24"/>
          <w:szCs w:val="24"/>
        </w:rPr>
      </w:pPr>
      <w:r w:rsidRPr="0097563C">
        <w:rPr>
          <w:b/>
          <w:bCs/>
          <w:sz w:val="24"/>
          <w:szCs w:val="24"/>
        </w:rPr>
        <w:t>1</w:t>
      </w:r>
      <w:r w:rsidR="00E8653C">
        <w:rPr>
          <w:b/>
          <w:bCs/>
          <w:sz w:val="24"/>
          <w:szCs w:val="24"/>
        </w:rPr>
        <w:t>2</w:t>
      </w:r>
      <w:r w:rsidRPr="0097563C">
        <w:rPr>
          <w:b/>
          <w:bCs/>
          <w:sz w:val="24"/>
          <w:szCs w:val="24"/>
        </w:rPr>
        <w:t>. Temerrüt ve Yaptırımlar</w:t>
      </w:r>
    </w:p>
    <w:p w14:paraId="72843D5B" w14:textId="77777777" w:rsidR="00E609AB" w:rsidRPr="0097563C" w:rsidRDefault="00E609AB" w:rsidP="0097563C">
      <w:pPr>
        <w:numPr>
          <w:ilvl w:val="0"/>
          <w:numId w:val="11"/>
        </w:numPr>
        <w:spacing w:before="120" w:after="120"/>
        <w:jc w:val="both"/>
        <w:rPr>
          <w:sz w:val="24"/>
          <w:szCs w:val="24"/>
        </w:rPr>
      </w:pPr>
      <w:r w:rsidRPr="0097563C">
        <w:rPr>
          <w:b/>
          <w:bCs/>
          <w:sz w:val="24"/>
          <w:szCs w:val="24"/>
        </w:rPr>
        <w:t>Taahhütlerin yerine getirilmemesi:</w:t>
      </w:r>
      <w:r w:rsidRPr="0097563C">
        <w:rPr>
          <w:sz w:val="24"/>
          <w:szCs w:val="24"/>
        </w:rPr>
        <w:t xml:space="preserve"> Ödeme askıya alınması, temerrüt faizi, sözleşmeden çıkma hakkı.</w:t>
      </w:r>
    </w:p>
    <w:p w14:paraId="5632BD33" w14:textId="77777777" w:rsidR="00E609AB" w:rsidRPr="0097563C" w:rsidRDefault="00E609AB" w:rsidP="0097563C">
      <w:pPr>
        <w:numPr>
          <w:ilvl w:val="0"/>
          <w:numId w:val="11"/>
        </w:numPr>
        <w:spacing w:before="120" w:after="120"/>
        <w:jc w:val="both"/>
        <w:rPr>
          <w:sz w:val="24"/>
          <w:szCs w:val="24"/>
        </w:rPr>
      </w:pPr>
      <w:r w:rsidRPr="0097563C">
        <w:rPr>
          <w:b/>
          <w:bCs/>
          <w:sz w:val="24"/>
          <w:szCs w:val="24"/>
        </w:rPr>
        <w:t>Fon yönetim ihlali:</w:t>
      </w:r>
      <w:r w:rsidRPr="0097563C">
        <w:rPr>
          <w:sz w:val="24"/>
          <w:szCs w:val="24"/>
        </w:rPr>
        <w:t xml:space="preserve"> Ağır ihlallerde sözleşmenin feshi ve sorumluların yargıya bildirilmesi.</w:t>
      </w:r>
    </w:p>
    <w:p w14:paraId="73913227" w14:textId="72CF52D9" w:rsidR="00E609AB" w:rsidRDefault="00E609AB" w:rsidP="0097563C">
      <w:pPr>
        <w:numPr>
          <w:ilvl w:val="0"/>
          <w:numId w:val="11"/>
        </w:numPr>
        <w:spacing w:before="120" w:after="120"/>
        <w:jc w:val="both"/>
        <w:rPr>
          <w:sz w:val="24"/>
          <w:szCs w:val="24"/>
        </w:rPr>
      </w:pPr>
      <w:r w:rsidRPr="0097563C">
        <w:rPr>
          <w:b/>
          <w:bCs/>
          <w:sz w:val="24"/>
          <w:szCs w:val="24"/>
        </w:rPr>
        <w:lastRenderedPageBreak/>
        <w:t>Kamu kaynağı:</w:t>
      </w:r>
      <w:r w:rsidRPr="0097563C">
        <w:rPr>
          <w:sz w:val="24"/>
          <w:szCs w:val="24"/>
        </w:rPr>
        <w:t xml:space="preserve"> Usulsüz kullanımda TCK, 5018 ve 6362 sayılı kanun hükümlerine tabi olunacağı hükmü.</w:t>
      </w:r>
    </w:p>
    <w:p w14:paraId="16AA5615" w14:textId="24998C71" w:rsidR="009177AA" w:rsidRPr="009177AA" w:rsidRDefault="009177AA" w:rsidP="0097563C">
      <w:pPr>
        <w:numPr>
          <w:ilvl w:val="0"/>
          <w:numId w:val="11"/>
        </w:numPr>
        <w:spacing w:before="120" w:after="120"/>
        <w:jc w:val="both"/>
        <w:rPr>
          <w:b/>
          <w:bCs/>
          <w:sz w:val="24"/>
          <w:szCs w:val="24"/>
        </w:rPr>
      </w:pPr>
      <w:r w:rsidRPr="009177AA">
        <w:rPr>
          <w:b/>
          <w:bCs/>
          <w:sz w:val="24"/>
          <w:szCs w:val="24"/>
        </w:rPr>
        <w:t>Hatalı/yersiz ödeme:</w:t>
      </w:r>
      <w:r>
        <w:rPr>
          <w:b/>
          <w:bCs/>
          <w:sz w:val="24"/>
          <w:szCs w:val="24"/>
        </w:rPr>
        <w:t xml:space="preserve"> </w:t>
      </w:r>
      <w:r w:rsidRPr="009177AA">
        <w:rPr>
          <w:sz w:val="24"/>
          <w:szCs w:val="24"/>
        </w:rPr>
        <w:t>Hatalı/yersiz ödemeler, ödeme tarihinden itibaren işleyecek</w:t>
      </w:r>
      <w:r w:rsidR="00B57773">
        <w:rPr>
          <w:sz w:val="24"/>
          <w:szCs w:val="24"/>
        </w:rPr>
        <w:t xml:space="preserve"> </w:t>
      </w:r>
      <w:proofErr w:type="spellStart"/>
      <w:r w:rsidR="00B57773">
        <w:rPr>
          <w:sz w:val="24"/>
          <w:szCs w:val="24"/>
        </w:rPr>
        <w:t>yasal</w:t>
      </w:r>
      <w:r w:rsidRPr="009177AA">
        <w:rPr>
          <w:sz w:val="24"/>
          <w:szCs w:val="24"/>
        </w:rPr>
        <w:t>faizi</w:t>
      </w:r>
      <w:proofErr w:type="spellEnd"/>
      <w:r w:rsidRPr="009177AA">
        <w:rPr>
          <w:sz w:val="24"/>
          <w:szCs w:val="24"/>
        </w:rPr>
        <w:t xml:space="preserve"> ile birlikte bildirim tarihinden itibaren </w:t>
      </w:r>
      <w:r w:rsidR="005352D8">
        <w:rPr>
          <w:sz w:val="24"/>
          <w:szCs w:val="24"/>
        </w:rPr>
        <w:t>…</w:t>
      </w:r>
      <w:r w:rsidRPr="009177AA">
        <w:rPr>
          <w:sz w:val="24"/>
          <w:szCs w:val="24"/>
        </w:rPr>
        <w:t xml:space="preserve"> gün içerisinde Başkanlık hesabına aktarılır.</w:t>
      </w:r>
      <w:r w:rsidRPr="009177AA">
        <w:rPr>
          <w:b/>
          <w:bCs/>
          <w:sz w:val="24"/>
          <w:szCs w:val="24"/>
        </w:rPr>
        <w:t xml:space="preserve"> </w:t>
      </w:r>
    </w:p>
    <w:p w14:paraId="799A6C15" w14:textId="1E327279" w:rsidR="00E609AB" w:rsidRPr="0097563C" w:rsidRDefault="00E609AB" w:rsidP="0097563C">
      <w:pPr>
        <w:spacing w:before="120" w:after="120"/>
        <w:jc w:val="both"/>
        <w:rPr>
          <w:b/>
          <w:bCs/>
          <w:sz w:val="24"/>
          <w:szCs w:val="24"/>
        </w:rPr>
      </w:pPr>
      <w:r w:rsidRPr="0097563C">
        <w:rPr>
          <w:b/>
          <w:bCs/>
          <w:sz w:val="24"/>
          <w:szCs w:val="24"/>
        </w:rPr>
        <w:t>1</w:t>
      </w:r>
      <w:r w:rsidR="00BA18B8">
        <w:rPr>
          <w:b/>
          <w:bCs/>
          <w:sz w:val="24"/>
          <w:szCs w:val="24"/>
        </w:rPr>
        <w:t>3</w:t>
      </w:r>
      <w:r w:rsidRPr="0097563C">
        <w:rPr>
          <w:b/>
          <w:bCs/>
          <w:sz w:val="24"/>
          <w:szCs w:val="24"/>
        </w:rPr>
        <w:t>. Mücbir Sebep ve Olağanüstü Haller</w:t>
      </w:r>
    </w:p>
    <w:p w14:paraId="34314D60" w14:textId="6D1196B5" w:rsidR="00E609AB" w:rsidRPr="0097563C" w:rsidRDefault="00E609AB" w:rsidP="0097563C">
      <w:pPr>
        <w:numPr>
          <w:ilvl w:val="0"/>
          <w:numId w:val="12"/>
        </w:numPr>
        <w:spacing w:before="120" w:after="120"/>
        <w:jc w:val="both"/>
        <w:rPr>
          <w:sz w:val="24"/>
          <w:szCs w:val="24"/>
        </w:rPr>
      </w:pPr>
      <w:r w:rsidRPr="0097563C">
        <w:rPr>
          <w:b/>
          <w:bCs/>
          <w:sz w:val="24"/>
          <w:szCs w:val="24"/>
        </w:rPr>
        <w:t>Durumlar:</w:t>
      </w:r>
      <w:r w:rsidRPr="0097563C">
        <w:rPr>
          <w:sz w:val="24"/>
          <w:szCs w:val="24"/>
        </w:rPr>
        <w:t xml:space="preserve"> Deprem, sel, savaş, salgın, siber saldırı</w:t>
      </w:r>
      <w:r w:rsidR="0074017A">
        <w:rPr>
          <w:sz w:val="24"/>
          <w:szCs w:val="24"/>
        </w:rPr>
        <w:t xml:space="preserve"> vb.</w:t>
      </w:r>
    </w:p>
    <w:p w14:paraId="62723D81" w14:textId="77777777" w:rsidR="00E609AB" w:rsidRPr="0097563C" w:rsidRDefault="00E609AB" w:rsidP="0097563C">
      <w:pPr>
        <w:numPr>
          <w:ilvl w:val="0"/>
          <w:numId w:val="12"/>
        </w:numPr>
        <w:spacing w:before="120" w:after="120"/>
        <w:jc w:val="both"/>
        <w:rPr>
          <w:sz w:val="24"/>
          <w:szCs w:val="24"/>
        </w:rPr>
      </w:pPr>
      <w:r w:rsidRPr="0097563C">
        <w:rPr>
          <w:b/>
          <w:bCs/>
          <w:sz w:val="24"/>
          <w:szCs w:val="24"/>
        </w:rPr>
        <w:t>Sonuç:</w:t>
      </w:r>
      <w:r w:rsidRPr="0097563C">
        <w:rPr>
          <w:sz w:val="24"/>
          <w:szCs w:val="24"/>
        </w:rPr>
        <w:t xml:space="preserve"> Yükümlülüklerin askıya alınması, raporlama süresinin uzatılması, telafi planı hazırlanması.</w:t>
      </w:r>
    </w:p>
    <w:p w14:paraId="664CD92F" w14:textId="56CF7D23" w:rsidR="00E609AB" w:rsidRPr="0097563C" w:rsidRDefault="00E609AB" w:rsidP="0097563C">
      <w:pPr>
        <w:spacing w:before="120" w:after="120"/>
        <w:jc w:val="both"/>
        <w:rPr>
          <w:b/>
          <w:bCs/>
          <w:sz w:val="24"/>
          <w:szCs w:val="24"/>
        </w:rPr>
      </w:pPr>
      <w:r w:rsidRPr="0097563C">
        <w:rPr>
          <w:b/>
          <w:bCs/>
          <w:sz w:val="24"/>
          <w:szCs w:val="24"/>
        </w:rPr>
        <w:t>1</w:t>
      </w:r>
      <w:r w:rsidR="00E8653C">
        <w:rPr>
          <w:b/>
          <w:bCs/>
          <w:sz w:val="24"/>
          <w:szCs w:val="24"/>
        </w:rPr>
        <w:t>4</w:t>
      </w:r>
      <w:r w:rsidRPr="0097563C">
        <w:rPr>
          <w:b/>
          <w:bCs/>
          <w:sz w:val="24"/>
          <w:szCs w:val="24"/>
        </w:rPr>
        <w:t>. Gizlilik ve Bilgi Paylaşımı</w:t>
      </w:r>
    </w:p>
    <w:p w14:paraId="2D34D543" w14:textId="77777777" w:rsidR="00E609AB" w:rsidRPr="0097563C" w:rsidRDefault="00E609AB" w:rsidP="0097563C">
      <w:pPr>
        <w:numPr>
          <w:ilvl w:val="0"/>
          <w:numId w:val="13"/>
        </w:numPr>
        <w:spacing w:before="120" w:after="120"/>
        <w:jc w:val="both"/>
        <w:rPr>
          <w:sz w:val="24"/>
          <w:szCs w:val="24"/>
        </w:rPr>
      </w:pPr>
      <w:r w:rsidRPr="0097563C">
        <w:rPr>
          <w:b/>
          <w:bCs/>
          <w:sz w:val="24"/>
          <w:szCs w:val="24"/>
        </w:rPr>
        <w:t>Gizlilik:</w:t>
      </w:r>
      <w:r w:rsidRPr="0097563C">
        <w:rPr>
          <w:sz w:val="24"/>
          <w:szCs w:val="24"/>
        </w:rPr>
        <w:t xml:space="preserve"> Ticari sırların korunması, yatırımcı bilgilerinin açıklanamaması.</w:t>
      </w:r>
    </w:p>
    <w:p w14:paraId="568620A8" w14:textId="659DAB4C" w:rsidR="0045219D" w:rsidRPr="00D52D4D" w:rsidRDefault="0045219D" w:rsidP="0045219D">
      <w:pPr>
        <w:spacing w:before="60" w:after="60"/>
        <w:jc w:val="both"/>
        <w:rPr>
          <w:b/>
          <w:bCs/>
          <w:sz w:val="24"/>
          <w:szCs w:val="24"/>
        </w:rPr>
      </w:pPr>
      <w:r>
        <w:rPr>
          <w:b/>
          <w:bCs/>
          <w:sz w:val="24"/>
          <w:szCs w:val="24"/>
        </w:rPr>
        <w:t>1</w:t>
      </w:r>
      <w:r w:rsidR="00E8653C">
        <w:rPr>
          <w:b/>
          <w:bCs/>
          <w:sz w:val="24"/>
          <w:szCs w:val="24"/>
        </w:rPr>
        <w:t>5</w:t>
      </w:r>
      <w:r>
        <w:rPr>
          <w:b/>
          <w:bCs/>
          <w:sz w:val="24"/>
          <w:szCs w:val="24"/>
        </w:rPr>
        <w:t xml:space="preserve">. </w:t>
      </w:r>
      <w:r w:rsidR="00D75DD1">
        <w:rPr>
          <w:b/>
          <w:bCs/>
          <w:sz w:val="24"/>
          <w:szCs w:val="24"/>
        </w:rPr>
        <w:t xml:space="preserve">Personel </w:t>
      </w:r>
      <w:r w:rsidRPr="00D52D4D">
        <w:rPr>
          <w:b/>
          <w:bCs/>
          <w:sz w:val="24"/>
          <w:szCs w:val="24"/>
        </w:rPr>
        <w:t>Personel</w:t>
      </w:r>
      <w:r>
        <w:rPr>
          <w:b/>
          <w:bCs/>
          <w:sz w:val="24"/>
          <w:szCs w:val="24"/>
        </w:rPr>
        <w:t>in</w:t>
      </w:r>
      <w:r w:rsidRPr="00D52D4D">
        <w:rPr>
          <w:b/>
          <w:bCs/>
          <w:sz w:val="24"/>
          <w:szCs w:val="24"/>
        </w:rPr>
        <w:t xml:space="preserve"> </w:t>
      </w:r>
      <w:r>
        <w:rPr>
          <w:b/>
          <w:bCs/>
          <w:sz w:val="24"/>
          <w:szCs w:val="24"/>
        </w:rPr>
        <w:t>kapasite gelişimi ve bilgi paylaşımı yükümlülüğü</w:t>
      </w:r>
    </w:p>
    <w:p w14:paraId="645D27A5" w14:textId="0835F7BF" w:rsidR="00D75DD1" w:rsidRDefault="00D75DD1" w:rsidP="00D75DD1">
      <w:pPr>
        <w:pStyle w:val="ListeParagraf"/>
        <w:numPr>
          <w:ilvl w:val="0"/>
          <w:numId w:val="17"/>
        </w:numPr>
        <w:spacing w:before="120" w:after="120"/>
        <w:jc w:val="both"/>
        <w:rPr>
          <w:rFonts w:ascii="Times New Roman" w:eastAsia="Times New Roman" w:hAnsi="Times New Roman"/>
          <w:sz w:val="24"/>
          <w:szCs w:val="24"/>
          <w:lang w:eastAsia="tr-TR"/>
        </w:rPr>
      </w:pPr>
      <w:r w:rsidRPr="00D75DD1">
        <w:rPr>
          <w:rFonts w:ascii="Times New Roman" w:eastAsia="Times New Roman" w:hAnsi="Times New Roman"/>
          <w:sz w:val="24"/>
          <w:szCs w:val="24"/>
          <w:lang w:eastAsia="tr-TR"/>
        </w:rPr>
        <w:t>KOSGEB’in fon yatırımcı sıfatını haiz olduğu süre boyunca, KOSGEB tarafından belirlenen personelin fon yönetimi süreçlerinde bilgi edinmesine ve mesleki gelişimi destekle</w:t>
      </w:r>
      <w:r w:rsidR="0045219D">
        <w:rPr>
          <w:rFonts w:ascii="Times New Roman" w:eastAsia="Times New Roman" w:hAnsi="Times New Roman"/>
          <w:sz w:val="24"/>
          <w:szCs w:val="24"/>
          <w:lang w:eastAsia="tr-TR"/>
        </w:rPr>
        <w:t>necektir.</w:t>
      </w:r>
    </w:p>
    <w:p w14:paraId="196E0194" w14:textId="47E3171D" w:rsidR="0045219D" w:rsidRDefault="0045219D" w:rsidP="0045219D">
      <w:pPr>
        <w:pStyle w:val="ListeParagraf"/>
        <w:numPr>
          <w:ilvl w:val="0"/>
          <w:numId w:val="17"/>
        </w:numPr>
        <w:spacing w:before="60" w:after="60"/>
        <w:jc w:val="both"/>
        <w:rPr>
          <w:rFonts w:ascii="Times New Roman" w:eastAsia="Times New Roman" w:hAnsi="Times New Roman"/>
          <w:sz w:val="24"/>
          <w:szCs w:val="24"/>
          <w:lang w:eastAsia="tr-TR"/>
        </w:rPr>
      </w:pPr>
      <w:r w:rsidRPr="0045219D">
        <w:rPr>
          <w:rFonts w:ascii="Times New Roman" w:eastAsia="Times New Roman" w:hAnsi="Times New Roman"/>
          <w:sz w:val="24"/>
          <w:szCs w:val="24"/>
          <w:lang w:eastAsia="tr-TR"/>
        </w:rPr>
        <w:t>KOSGEB’in belirleyeceği personelin; fonun kuruluşunda tasfiyesine kadar olan tüm aşamalarda; yatırım stratejilerinin oluşturulması, yatırım değerlendirme ve karar süreçleri, portföy yönetimi, performans izleme, raporlama, yatırım sonrası faaliyetler ve çıkış stratejileri dahil olmak üzere tüm süreçlerde gözlemci olarak sürece katılımını ve pratik deneyim kazanmasını temin ed</w:t>
      </w:r>
      <w:r w:rsidR="00350F02">
        <w:rPr>
          <w:rFonts w:ascii="Times New Roman" w:eastAsia="Times New Roman" w:hAnsi="Times New Roman"/>
          <w:sz w:val="24"/>
          <w:szCs w:val="24"/>
          <w:lang w:eastAsia="tr-TR"/>
        </w:rPr>
        <w:t>ilecektir.</w:t>
      </w:r>
    </w:p>
    <w:p w14:paraId="6D489E41" w14:textId="7E287FDB" w:rsidR="0060248C" w:rsidRPr="00185FFC" w:rsidRDefault="0060248C" w:rsidP="0060248C">
      <w:pPr>
        <w:tabs>
          <w:tab w:val="left" w:pos="142"/>
        </w:tabs>
        <w:spacing w:before="60" w:after="60"/>
        <w:jc w:val="both"/>
        <w:rPr>
          <w:b/>
          <w:bCs/>
          <w:sz w:val="24"/>
          <w:szCs w:val="24"/>
        </w:rPr>
      </w:pPr>
      <w:r w:rsidRPr="00185FFC">
        <w:rPr>
          <w:b/>
          <w:bCs/>
          <w:sz w:val="24"/>
          <w:szCs w:val="24"/>
        </w:rPr>
        <w:t>1</w:t>
      </w:r>
      <w:r w:rsidR="00E8653C">
        <w:rPr>
          <w:b/>
          <w:bCs/>
          <w:sz w:val="24"/>
          <w:szCs w:val="24"/>
        </w:rPr>
        <w:t>6</w:t>
      </w:r>
      <w:r w:rsidRPr="00185FFC">
        <w:rPr>
          <w:b/>
          <w:bCs/>
          <w:sz w:val="24"/>
          <w:szCs w:val="24"/>
        </w:rPr>
        <w:t>. Tebligat Usulü</w:t>
      </w:r>
    </w:p>
    <w:p w14:paraId="5B234967" w14:textId="76DCEF5E" w:rsidR="0060248C" w:rsidRDefault="0060248C" w:rsidP="0060248C">
      <w:pPr>
        <w:pStyle w:val="ListeParagraf"/>
        <w:numPr>
          <w:ilvl w:val="0"/>
          <w:numId w:val="17"/>
        </w:numPr>
        <w:spacing w:before="60" w:after="60"/>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Taraflar sözleşmede gösterilen adreslerin tebliğe geçerli adresleri olduğunu beyan etmiş olup adres değişiklikleri ancak yazılı bildirimden sonra geçerli olacaktır. </w:t>
      </w:r>
      <w:r w:rsidR="00E8653C">
        <w:rPr>
          <w:rFonts w:ascii="Times New Roman" w:eastAsia="Times New Roman" w:hAnsi="Times New Roman"/>
          <w:sz w:val="24"/>
          <w:szCs w:val="24"/>
          <w:lang w:eastAsia="tr-TR"/>
        </w:rPr>
        <w:t xml:space="preserve">Taraflar </w:t>
      </w:r>
      <w:r>
        <w:rPr>
          <w:rFonts w:ascii="Times New Roman" w:eastAsia="Times New Roman" w:hAnsi="Times New Roman"/>
          <w:sz w:val="24"/>
          <w:szCs w:val="24"/>
          <w:lang w:eastAsia="tr-TR"/>
        </w:rPr>
        <w:t>KOSGEB KOBİ Bilgi Sistemi</w:t>
      </w:r>
      <w:r w:rsidR="00E8653C">
        <w:rPr>
          <w:rFonts w:ascii="Times New Roman" w:eastAsia="Times New Roman" w:hAnsi="Times New Roman"/>
          <w:sz w:val="24"/>
          <w:szCs w:val="24"/>
          <w:lang w:eastAsia="tr-TR"/>
        </w:rPr>
        <w:t xml:space="preserve"> üzerinden</w:t>
      </w:r>
      <w:r>
        <w:rPr>
          <w:rFonts w:ascii="Times New Roman" w:eastAsia="Times New Roman" w:hAnsi="Times New Roman"/>
          <w:sz w:val="24"/>
          <w:szCs w:val="24"/>
          <w:lang w:eastAsia="tr-TR"/>
        </w:rPr>
        <w:t xml:space="preserve"> veya sözleşmede yazılı e-posta adresleri yoluyla </w:t>
      </w:r>
      <w:r w:rsidR="00E8653C">
        <w:rPr>
          <w:rFonts w:ascii="Times New Roman" w:eastAsia="Times New Roman" w:hAnsi="Times New Roman"/>
          <w:sz w:val="24"/>
          <w:szCs w:val="24"/>
          <w:lang w:eastAsia="tr-TR"/>
        </w:rPr>
        <w:t xml:space="preserve">iletilen hususların tebligat yerine geçeceğini kabul eder. </w:t>
      </w:r>
    </w:p>
    <w:p w14:paraId="60302682" w14:textId="4F21020D" w:rsidR="0060248C" w:rsidRPr="00185FFC" w:rsidRDefault="00E8653C" w:rsidP="00185FFC">
      <w:pPr>
        <w:tabs>
          <w:tab w:val="left" w:pos="142"/>
        </w:tabs>
        <w:spacing w:before="60" w:after="60"/>
        <w:jc w:val="both"/>
        <w:rPr>
          <w:b/>
          <w:bCs/>
          <w:sz w:val="24"/>
          <w:szCs w:val="24"/>
          <w:u w:val="single"/>
        </w:rPr>
      </w:pPr>
      <w:r>
        <w:rPr>
          <w:sz w:val="24"/>
          <w:szCs w:val="24"/>
        </w:rPr>
        <w:tab/>
      </w:r>
      <w:r w:rsidRPr="00185FFC">
        <w:rPr>
          <w:b/>
          <w:bCs/>
          <w:sz w:val="24"/>
          <w:szCs w:val="24"/>
          <w:u w:val="single"/>
        </w:rPr>
        <w:t>E-Posta Adresleri:</w:t>
      </w:r>
    </w:p>
    <w:p w14:paraId="5120072E" w14:textId="652F54FB" w:rsidR="00E609AB" w:rsidRPr="0097563C" w:rsidRDefault="00E609AB" w:rsidP="0097563C">
      <w:pPr>
        <w:spacing w:before="120" w:after="120"/>
        <w:jc w:val="both"/>
        <w:rPr>
          <w:b/>
          <w:bCs/>
          <w:sz w:val="24"/>
          <w:szCs w:val="24"/>
        </w:rPr>
      </w:pPr>
      <w:r w:rsidRPr="0097563C">
        <w:rPr>
          <w:b/>
          <w:bCs/>
          <w:sz w:val="24"/>
          <w:szCs w:val="24"/>
        </w:rPr>
        <w:t>1</w:t>
      </w:r>
      <w:r w:rsidR="00E8653C">
        <w:rPr>
          <w:b/>
          <w:bCs/>
          <w:sz w:val="24"/>
          <w:szCs w:val="24"/>
        </w:rPr>
        <w:t>7</w:t>
      </w:r>
      <w:r w:rsidRPr="0097563C">
        <w:rPr>
          <w:b/>
          <w:bCs/>
          <w:sz w:val="24"/>
          <w:szCs w:val="24"/>
        </w:rPr>
        <w:t>. Uyuşmazlık Çözümü</w:t>
      </w:r>
    </w:p>
    <w:p w14:paraId="54C04E6B" w14:textId="63DBFADF" w:rsidR="00E609AB" w:rsidRDefault="00E609AB" w:rsidP="0097563C">
      <w:pPr>
        <w:numPr>
          <w:ilvl w:val="0"/>
          <w:numId w:val="14"/>
        </w:numPr>
        <w:spacing w:before="120" w:after="120"/>
        <w:jc w:val="both"/>
        <w:rPr>
          <w:sz w:val="24"/>
          <w:szCs w:val="24"/>
        </w:rPr>
      </w:pPr>
      <w:r w:rsidRPr="0097563C">
        <w:rPr>
          <w:b/>
          <w:bCs/>
          <w:sz w:val="24"/>
          <w:szCs w:val="24"/>
        </w:rPr>
        <w:t>Yetkili hukuk:</w:t>
      </w:r>
      <w:r w:rsidRPr="0097563C">
        <w:rPr>
          <w:sz w:val="24"/>
          <w:szCs w:val="24"/>
        </w:rPr>
        <w:t xml:space="preserve"> </w:t>
      </w:r>
      <w:r w:rsidR="00327D17">
        <w:rPr>
          <w:sz w:val="24"/>
          <w:szCs w:val="24"/>
        </w:rPr>
        <w:t xml:space="preserve">Bu sözleşme Türkiye Cumhuriyeti Kanunlarına tabi olacak </w:t>
      </w:r>
      <w:r w:rsidR="00B50201">
        <w:rPr>
          <w:sz w:val="24"/>
          <w:szCs w:val="24"/>
        </w:rPr>
        <w:t>ve sözleşmenin yorumu Türkiye Cumhuriyeti kanunları uyarınca yapılacaktır.</w:t>
      </w:r>
    </w:p>
    <w:p w14:paraId="363C0539" w14:textId="748F3C91" w:rsidR="00B50201" w:rsidRPr="00B50201" w:rsidRDefault="00DF03BB" w:rsidP="0097563C">
      <w:pPr>
        <w:numPr>
          <w:ilvl w:val="0"/>
          <w:numId w:val="14"/>
        </w:numPr>
        <w:spacing w:before="120" w:after="120"/>
        <w:jc w:val="both"/>
        <w:rPr>
          <w:sz w:val="24"/>
          <w:szCs w:val="24"/>
        </w:rPr>
      </w:pPr>
      <w:r w:rsidRPr="00185FFC">
        <w:rPr>
          <w:b/>
          <w:bCs/>
          <w:sz w:val="24"/>
          <w:szCs w:val="24"/>
        </w:rPr>
        <w:t>Tahkim:</w:t>
      </w:r>
      <w:r>
        <w:rPr>
          <w:sz w:val="24"/>
          <w:szCs w:val="24"/>
        </w:rPr>
        <w:t xml:space="preserve"> </w:t>
      </w:r>
      <w:r w:rsidR="00B50201" w:rsidRPr="00185FFC">
        <w:rPr>
          <w:sz w:val="24"/>
          <w:szCs w:val="24"/>
        </w:rPr>
        <w:t>Tahmin kuralları belirlenebilir.</w:t>
      </w:r>
      <w:r w:rsidR="00B50201" w:rsidRPr="00B50201">
        <w:rPr>
          <w:sz w:val="24"/>
          <w:szCs w:val="24"/>
        </w:rPr>
        <w:t xml:space="preserve"> </w:t>
      </w:r>
    </w:p>
    <w:p w14:paraId="708D4F7C" w14:textId="272980CB" w:rsidR="00E609AB" w:rsidRPr="0097563C" w:rsidRDefault="00E609AB" w:rsidP="0097563C">
      <w:pPr>
        <w:numPr>
          <w:ilvl w:val="0"/>
          <w:numId w:val="14"/>
        </w:numPr>
        <w:spacing w:before="120" w:after="120"/>
        <w:jc w:val="both"/>
        <w:rPr>
          <w:sz w:val="24"/>
          <w:szCs w:val="24"/>
        </w:rPr>
      </w:pPr>
      <w:r w:rsidRPr="0097563C">
        <w:rPr>
          <w:b/>
          <w:bCs/>
          <w:sz w:val="24"/>
          <w:szCs w:val="24"/>
        </w:rPr>
        <w:t>Mahkemeler:</w:t>
      </w:r>
      <w:r w:rsidRPr="0097563C">
        <w:rPr>
          <w:sz w:val="24"/>
          <w:szCs w:val="24"/>
        </w:rPr>
        <w:t xml:space="preserve"> Ankara mahkemeleri </w:t>
      </w:r>
      <w:r w:rsidR="003729AF">
        <w:rPr>
          <w:sz w:val="24"/>
          <w:szCs w:val="24"/>
        </w:rPr>
        <w:t xml:space="preserve">ve icra müdürlükleri </w:t>
      </w:r>
      <w:r w:rsidRPr="0097563C">
        <w:rPr>
          <w:sz w:val="24"/>
          <w:szCs w:val="24"/>
        </w:rPr>
        <w:t>yetkili</w:t>
      </w:r>
      <w:r w:rsidR="003729AF">
        <w:rPr>
          <w:sz w:val="24"/>
          <w:szCs w:val="24"/>
        </w:rPr>
        <w:t>dir</w:t>
      </w:r>
      <w:r w:rsidRPr="0097563C">
        <w:rPr>
          <w:sz w:val="24"/>
          <w:szCs w:val="24"/>
        </w:rPr>
        <w:t>.</w:t>
      </w:r>
    </w:p>
    <w:p w14:paraId="0DE4849E" w14:textId="0934271D" w:rsidR="00E609AB" w:rsidRPr="0097563C" w:rsidRDefault="00E609AB" w:rsidP="0097563C">
      <w:pPr>
        <w:spacing w:before="120" w:after="120"/>
        <w:jc w:val="both"/>
        <w:rPr>
          <w:b/>
          <w:bCs/>
          <w:sz w:val="24"/>
          <w:szCs w:val="24"/>
        </w:rPr>
      </w:pPr>
      <w:r w:rsidRPr="0097563C">
        <w:rPr>
          <w:b/>
          <w:bCs/>
          <w:sz w:val="24"/>
          <w:szCs w:val="24"/>
        </w:rPr>
        <w:t>1</w:t>
      </w:r>
      <w:r w:rsidR="00E8653C">
        <w:rPr>
          <w:b/>
          <w:bCs/>
          <w:sz w:val="24"/>
          <w:szCs w:val="24"/>
        </w:rPr>
        <w:t>8</w:t>
      </w:r>
      <w:r w:rsidRPr="0097563C">
        <w:rPr>
          <w:b/>
          <w:bCs/>
          <w:sz w:val="24"/>
          <w:szCs w:val="24"/>
        </w:rPr>
        <w:t>. Yürürlük ve Yürütme</w:t>
      </w:r>
    </w:p>
    <w:p w14:paraId="12C0491D" w14:textId="77777777" w:rsidR="00E609AB" w:rsidRPr="0097563C" w:rsidRDefault="00E609AB" w:rsidP="0097563C">
      <w:pPr>
        <w:numPr>
          <w:ilvl w:val="0"/>
          <w:numId w:val="15"/>
        </w:numPr>
        <w:spacing w:before="120" w:after="120"/>
        <w:jc w:val="both"/>
        <w:rPr>
          <w:sz w:val="24"/>
          <w:szCs w:val="24"/>
        </w:rPr>
      </w:pPr>
      <w:r w:rsidRPr="0097563C">
        <w:rPr>
          <w:b/>
          <w:bCs/>
          <w:sz w:val="24"/>
          <w:szCs w:val="24"/>
        </w:rPr>
        <w:t>Yürürlük:</w:t>
      </w:r>
      <w:r w:rsidRPr="0097563C">
        <w:rPr>
          <w:sz w:val="24"/>
          <w:szCs w:val="24"/>
        </w:rPr>
        <w:t xml:space="preserve"> Sözleşme KOSGEB Başkanı onayıyla yürürlüğe girer.</w:t>
      </w:r>
    </w:p>
    <w:p w14:paraId="75C19B59" w14:textId="77777777" w:rsidR="00E609AB" w:rsidRPr="0097563C" w:rsidRDefault="00E609AB" w:rsidP="0097563C">
      <w:pPr>
        <w:numPr>
          <w:ilvl w:val="0"/>
          <w:numId w:val="15"/>
        </w:numPr>
        <w:spacing w:before="120" w:after="120"/>
        <w:jc w:val="both"/>
        <w:rPr>
          <w:sz w:val="24"/>
          <w:szCs w:val="24"/>
        </w:rPr>
      </w:pPr>
      <w:r w:rsidRPr="0097563C">
        <w:rPr>
          <w:b/>
          <w:bCs/>
          <w:sz w:val="24"/>
          <w:szCs w:val="24"/>
        </w:rPr>
        <w:t>Yürütme:</w:t>
      </w:r>
      <w:r w:rsidRPr="0097563C">
        <w:rPr>
          <w:sz w:val="24"/>
          <w:szCs w:val="24"/>
        </w:rPr>
        <w:t xml:space="preserve"> Hükümler KOSGEB Başkanı tarafından yürütülür.</w:t>
      </w:r>
    </w:p>
    <w:p w14:paraId="2CBC058D" w14:textId="77777777" w:rsidR="00757208" w:rsidRPr="0097563C" w:rsidRDefault="00757208" w:rsidP="0097563C">
      <w:pPr>
        <w:tabs>
          <w:tab w:val="left" w:pos="426"/>
        </w:tabs>
        <w:spacing w:before="120" w:after="120"/>
        <w:ind w:left="142"/>
        <w:jc w:val="both"/>
        <w:rPr>
          <w:sz w:val="24"/>
          <w:szCs w:val="24"/>
        </w:rPr>
      </w:pPr>
    </w:p>
    <w:sectPr w:rsidR="00757208" w:rsidRPr="0097563C" w:rsidSect="008224F0">
      <w:headerReference w:type="default" r:id="rId8"/>
      <w:footerReference w:type="even" r:id="rId9"/>
      <w:footerReference w:type="default" r:id="rId10"/>
      <w:pgSz w:w="11906" w:h="16838" w:code="9"/>
      <w:pgMar w:top="1985" w:right="1418" w:bottom="1418" w:left="1418" w:header="709"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FB15F" w14:textId="77777777" w:rsidR="00993D48" w:rsidRDefault="00993D48">
      <w:r>
        <w:separator/>
      </w:r>
    </w:p>
  </w:endnote>
  <w:endnote w:type="continuationSeparator" w:id="0">
    <w:p w14:paraId="58F8030A" w14:textId="77777777" w:rsidR="00993D48" w:rsidRDefault="0099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13EED" w14:textId="77777777" w:rsidR="00B5430D" w:rsidRDefault="00B5430D" w:rsidP="00513713">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2567FC37" w14:textId="77777777" w:rsidR="00B5430D" w:rsidRDefault="00B5430D" w:rsidP="0051371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514383"/>
      <w:docPartObj>
        <w:docPartGallery w:val="Page Numbers (Bottom of Page)"/>
        <w:docPartUnique/>
      </w:docPartObj>
    </w:sdtPr>
    <w:sdtEndPr>
      <w:rPr>
        <w:sz w:val="20"/>
        <w:szCs w:val="20"/>
      </w:rPr>
    </w:sdtEndPr>
    <w:sdtContent>
      <w:p w14:paraId="123D8D90" w14:textId="0114840C" w:rsidR="00860FAA" w:rsidRDefault="00860FAA" w:rsidP="00860FAA">
        <w:pPr>
          <w:pStyle w:val="Altbilgi0"/>
          <w:jc w:val="both"/>
        </w:pPr>
        <w:r>
          <w:rPr>
            <w:sz w:val="20"/>
          </w:rPr>
          <w:tab/>
        </w:r>
        <w:r>
          <w:rPr>
            <w:sz w:val="20"/>
          </w:rPr>
          <w:tab/>
        </w:r>
        <w:r w:rsidRPr="00860FAA">
          <w:rPr>
            <w:sz w:val="20"/>
            <w:szCs w:val="20"/>
          </w:rPr>
          <w:fldChar w:fldCharType="begin"/>
        </w:r>
        <w:r w:rsidRPr="00860FAA">
          <w:rPr>
            <w:sz w:val="20"/>
            <w:szCs w:val="20"/>
          </w:rPr>
          <w:instrText>PAGE   \* MERGEFORMAT</w:instrText>
        </w:r>
        <w:r w:rsidRPr="00860FAA">
          <w:rPr>
            <w:sz w:val="20"/>
            <w:szCs w:val="20"/>
          </w:rPr>
          <w:fldChar w:fldCharType="separate"/>
        </w:r>
        <w:r w:rsidRPr="00860FAA">
          <w:rPr>
            <w:sz w:val="20"/>
            <w:szCs w:val="20"/>
          </w:rPr>
          <w:t>2</w:t>
        </w:r>
        <w:r w:rsidRPr="00860FAA">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11F9D" w14:textId="77777777" w:rsidR="00993D48" w:rsidRDefault="00993D48">
      <w:r>
        <w:separator/>
      </w:r>
    </w:p>
  </w:footnote>
  <w:footnote w:type="continuationSeparator" w:id="0">
    <w:p w14:paraId="5E55ECED" w14:textId="77777777" w:rsidR="00993D48" w:rsidRDefault="00993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2080046452"/>
      <w:docPartObj>
        <w:docPartGallery w:val="Watermarks"/>
        <w:docPartUnique/>
      </w:docPartObj>
    </w:sdtPr>
    <w:sdtEndPr/>
    <w:sdtContent>
      <w:p w14:paraId="753DAC63" w14:textId="50601A1D" w:rsidR="00757208" w:rsidRDefault="00E43571" w:rsidP="00757208">
        <w:pPr>
          <w:pStyle w:val="stbilgi1"/>
          <w:jc w:val="center"/>
          <w:rPr>
            <w:b/>
          </w:rPr>
        </w:pPr>
        <w:r>
          <w:rPr>
            <w:b/>
          </w:rPr>
          <w:pict w14:anchorId="2680BB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4097" type="#_x0000_t136" style="position:absolute;left:0;text-align:left;margin-left:0;margin-top:0;width:461.85pt;height:197.95pt;rotation:315;z-index:-251658240;mso-position-horizontal:center;mso-position-horizontal-relative:margin;mso-position-vertical:center;mso-position-vertical-relative:margin" o:allowincell="f" fillcolor="silver" stroked="f">
              <v:fill opacity=".5"/>
              <v:textpath style="font-family:&quot;calibri&quot;;font-size:1pt" string="ÖRNEK"/>
              <w10:wrap anchorx="margin" anchory="margin"/>
            </v:shape>
          </w:pict>
        </w:r>
      </w:p>
    </w:sdtContent>
  </w:sdt>
  <w:p w14:paraId="2E785AB3" w14:textId="77777777" w:rsidR="00E85B99" w:rsidRDefault="00E85B99" w:rsidP="00E85B99">
    <w:pPr>
      <w:pStyle w:val="stbilgi1"/>
      <w:jc w:val="center"/>
      <w:rPr>
        <w:b/>
        <w:bCs/>
        <w:kern w:val="16"/>
        <w:position w:val="2"/>
        <w:lang w:val="pt-BR"/>
      </w:rPr>
    </w:pPr>
    <w:r w:rsidRPr="00E85B99">
      <w:rPr>
        <w:b/>
        <w:bCs/>
        <w:kern w:val="16"/>
        <w:position w:val="2"/>
        <w:lang w:val="pt-BR"/>
      </w:rPr>
      <w:t>GİRİŞİM SERMAYESİ YATIRIM FONLARI YATIRIMLARINA İLİŞKİN</w:t>
    </w:r>
  </w:p>
  <w:p w14:paraId="7CB17F4B" w14:textId="2DA818B8" w:rsidR="00E8653C" w:rsidRPr="00185FFC" w:rsidRDefault="00E8653C" w:rsidP="00E8653C">
    <w:pPr>
      <w:tabs>
        <w:tab w:val="left" w:pos="426"/>
      </w:tabs>
      <w:spacing w:before="60" w:after="60"/>
      <w:jc w:val="center"/>
      <w:rPr>
        <w:b/>
        <w:bCs/>
        <w:kern w:val="16"/>
        <w:position w:val="2"/>
        <w:sz w:val="24"/>
        <w:szCs w:val="24"/>
        <w:lang w:val="pt-BR"/>
      </w:rPr>
    </w:pPr>
    <w:r w:rsidRPr="00185FFC">
      <w:rPr>
        <w:b/>
        <w:bCs/>
        <w:kern w:val="16"/>
        <w:position w:val="2"/>
        <w:sz w:val="24"/>
        <w:szCs w:val="24"/>
        <w:lang w:val="pt-BR"/>
      </w:rPr>
      <w:t>YATIRIMCI SÖZLEŞMESİ</w:t>
    </w:r>
  </w:p>
  <w:p w14:paraId="4BEB24B2" w14:textId="77777777" w:rsidR="00E8653C" w:rsidRPr="00E85B99" w:rsidRDefault="00E8653C" w:rsidP="00E85B99">
    <w:pPr>
      <w:pStyle w:val="stbilgi1"/>
      <w:jc w:val="center"/>
      <w:rPr>
        <w:b/>
        <w:bCs/>
        <w:kern w:val="16"/>
        <w:position w:val="2"/>
      </w:rPr>
    </w:pPr>
  </w:p>
  <w:p w14:paraId="595FADC6" w14:textId="77777777" w:rsidR="00FC6962" w:rsidRDefault="00FC6962" w:rsidP="00E85B99">
    <w:pPr>
      <w:pStyle w:val="stbilgi1"/>
      <w:rPr>
        <w:b/>
      </w:rPr>
    </w:pPr>
  </w:p>
  <w:p w14:paraId="7F9E55FA" w14:textId="718E145E" w:rsidR="00B5430D" w:rsidRPr="008476D3" w:rsidRDefault="001E7E09" w:rsidP="00757208">
    <w:pPr>
      <w:pStyle w:val="stbilgi1"/>
      <w:jc w:val="center"/>
      <w:rPr>
        <w:b/>
      </w:rPr>
    </w:pPr>
    <w:r>
      <w:rPr>
        <w:b/>
        <w:noProof/>
      </w:rPr>
      <w:drawing>
        <wp:anchor distT="0" distB="0" distL="114300" distR="114300" simplePos="0" relativeHeight="251657216" behindDoc="1" locked="0" layoutInCell="1" allowOverlap="1" wp14:anchorId="353D6E24" wp14:editId="16B0CFB4">
          <wp:simplePos x="0" y="0"/>
          <wp:positionH relativeFrom="column">
            <wp:posOffset>0</wp:posOffset>
          </wp:positionH>
          <wp:positionV relativeFrom="page">
            <wp:posOffset>180340</wp:posOffset>
          </wp:positionV>
          <wp:extent cx="1616400" cy="907200"/>
          <wp:effectExtent l="0" t="0" r="0" b="0"/>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sgeb logolar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6400" cy="90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329A8"/>
    <w:multiLevelType w:val="multilevel"/>
    <w:tmpl w:val="AB88F8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34227"/>
    <w:multiLevelType w:val="multilevel"/>
    <w:tmpl w:val="1C960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249FE"/>
    <w:multiLevelType w:val="multilevel"/>
    <w:tmpl w:val="D614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95930"/>
    <w:multiLevelType w:val="hybridMultilevel"/>
    <w:tmpl w:val="AE9C3F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B94F53"/>
    <w:multiLevelType w:val="multilevel"/>
    <w:tmpl w:val="D67E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83BCC"/>
    <w:multiLevelType w:val="multilevel"/>
    <w:tmpl w:val="6D48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A470B"/>
    <w:multiLevelType w:val="hybridMultilevel"/>
    <w:tmpl w:val="17DE25C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C7E2D21E">
      <w:start w:val="1"/>
      <w:numFmt w:val="decimal"/>
      <w:lvlText w:val="%3."/>
      <w:lvlJc w:val="right"/>
      <w:pPr>
        <w:ind w:left="2160" w:hanging="180"/>
      </w:pPr>
      <w:rPr>
        <w:rFonts w:ascii="Times New Roman" w:eastAsia="Times New Roman" w:hAnsi="Times New Roman" w:cs="Times New Roman"/>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80D24FF"/>
    <w:multiLevelType w:val="multilevel"/>
    <w:tmpl w:val="14681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FF1DD0"/>
    <w:multiLevelType w:val="hybridMultilevel"/>
    <w:tmpl w:val="B41E89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8D15F0F"/>
    <w:multiLevelType w:val="multilevel"/>
    <w:tmpl w:val="1D90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AC68CF"/>
    <w:multiLevelType w:val="multilevel"/>
    <w:tmpl w:val="1798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DF4325"/>
    <w:multiLevelType w:val="multilevel"/>
    <w:tmpl w:val="3F02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757B2C"/>
    <w:multiLevelType w:val="hybridMultilevel"/>
    <w:tmpl w:val="CDC49218"/>
    <w:lvl w:ilvl="0" w:tplc="FFFFFFFF">
      <w:start w:val="2"/>
      <w:numFmt w:val="decimal"/>
      <w:lvlText w:val="(%1)"/>
      <w:lvlJc w:val="left"/>
      <w:pPr>
        <w:ind w:left="1429" w:hanging="360"/>
      </w:pPr>
      <w:rPr>
        <w:rFonts w:hint="default"/>
        <w:sz w:val="24"/>
        <w:szCs w:val="24"/>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 w15:restartNumberingAfterBreak="0">
    <w:nsid w:val="55A60D30"/>
    <w:multiLevelType w:val="multilevel"/>
    <w:tmpl w:val="17405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E416F2"/>
    <w:multiLevelType w:val="hybridMultilevel"/>
    <w:tmpl w:val="DC4E28A6"/>
    <w:lvl w:ilvl="0" w:tplc="2F4017FC">
      <w:numFmt w:val="bullet"/>
      <w:lvlText w:val="-"/>
      <w:lvlJc w:val="left"/>
      <w:pPr>
        <w:ind w:left="1440" w:hanging="360"/>
      </w:pPr>
      <w:rPr>
        <w:rFonts w:ascii="Times New Roman" w:eastAsia="Times New Roman" w:hAnsi="Times New Roman" w:cs="Times New Roman"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5" w15:restartNumberingAfterBreak="0">
    <w:nsid w:val="5F0C1000"/>
    <w:multiLevelType w:val="multilevel"/>
    <w:tmpl w:val="1D74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D43503"/>
    <w:multiLevelType w:val="multilevel"/>
    <w:tmpl w:val="FDB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444048"/>
    <w:multiLevelType w:val="multilevel"/>
    <w:tmpl w:val="A7F8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C62EDA"/>
    <w:multiLevelType w:val="hybridMultilevel"/>
    <w:tmpl w:val="A2702F4C"/>
    <w:lvl w:ilvl="0" w:tplc="FFFFFFFF">
      <w:start w:val="2"/>
      <w:numFmt w:val="decimal"/>
      <w:lvlText w:val="(%1)"/>
      <w:lvlJc w:val="left"/>
      <w:pPr>
        <w:ind w:left="1429" w:hanging="360"/>
      </w:pPr>
      <w:rPr>
        <w:rFonts w:hint="default"/>
        <w:sz w:val="24"/>
        <w:szCs w:val="24"/>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15:restartNumberingAfterBreak="0">
    <w:nsid w:val="730E3968"/>
    <w:multiLevelType w:val="multilevel"/>
    <w:tmpl w:val="2466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794199"/>
    <w:multiLevelType w:val="multilevel"/>
    <w:tmpl w:val="7FF6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0017039">
    <w:abstractNumId w:val="1"/>
  </w:num>
  <w:num w:numId="2" w16cid:durableId="725688149">
    <w:abstractNumId w:val="19"/>
  </w:num>
  <w:num w:numId="3" w16cid:durableId="1589533596">
    <w:abstractNumId w:val="17"/>
  </w:num>
  <w:num w:numId="4" w16cid:durableId="730234547">
    <w:abstractNumId w:val="7"/>
  </w:num>
  <w:num w:numId="5" w16cid:durableId="1579437987">
    <w:abstractNumId w:val="9"/>
  </w:num>
  <w:num w:numId="6" w16cid:durableId="721059614">
    <w:abstractNumId w:val="13"/>
  </w:num>
  <w:num w:numId="7" w16cid:durableId="46731491">
    <w:abstractNumId w:val="15"/>
  </w:num>
  <w:num w:numId="8" w16cid:durableId="2144880119">
    <w:abstractNumId w:val="0"/>
  </w:num>
  <w:num w:numId="9" w16cid:durableId="1708093383">
    <w:abstractNumId w:val="10"/>
  </w:num>
  <w:num w:numId="10" w16cid:durableId="103892085">
    <w:abstractNumId w:val="16"/>
  </w:num>
  <w:num w:numId="11" w16cid:durableId="944387308">
    <w:abstractNumId w:val="5"/>
  </w:num>
  <w:num w:numId="12" w16cid:durableId="1621451665">
    <w:abstractNumId w:val="20"/>
  </w:num>
  <w:num w:numId="13" w16cid:durableId="1903787051">
    <w:abstractNumId w:val="4"/>
  </w:num>
  <w:num w:numId="14" w16cid:durableId="1153521140">
    <w:abstractNumId w:val="11"/>
  </w:num>
  <w:num w:numId="15" w16cid:durableId="601035667">
    <w:abstractNumId w:val="2"/>
  </w:num>
  <w:num w:numId="16" w16cid:durableId="546381811">
    <w:abstractNumId w:val="12"/>
  </w:num>
  <w:num w:numId="17" w16cid:durableId="1380205750">
    <w:abstractNumId w:val="3"/>
  </w:num>
  <w:num w:numId="18" w16cid:durableId="1823345835">
    <w:abstractNumId w:val="8"/>
  </w:num>
  <w:num w:numId="19" w16cid:durableId="16783277">
    <w:abstractNumId w:val="18"/>
  </w:num>
  <w:num w:numId="20" w16cid:durableId="1301961676">
    <w:abstractNumId w:val="6"/>
  </w:num>
  <w:num w:numId="21" w16cid:durableId="20013480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33E"/>
    <w:rsid w:val="000030CA"/>
    <w:rsid w:val="00017A7D"/>
    <w:rsid w:val="00020BBB"/>
    <w:rsid w:val="00023BDD"/>
    <w:rsid w:val="000333F5"/>
    <w:rsid w:val="00034AAC"/>
    <w:rsid w:val="00036FAC"/>
    <w:rsid w:val="000401FC"/>
    <w:rsid w:val="00041F7E"/>
    <w:rsid w:val="00043032"/>
    <w:rsid w:val="000460C8"/>
    <w:rsid w:val="0004687F"/>
    <w:rsid w:val="000470FB"/>
    <w:rsid w:val="00047C67"/>
    <w:rsid w:val="00047FFB"/>
    <w:rsid w:val="00057463"/>
    <w:rsid w:val="00062874"/>
    <w:rsid w:val="00062C44"/>
    <w:rsid w:val="00062CD8"/>
    <w:rsid w:val="00063392"/>
    <w:rsid w:val="00065E57"/>
    <w:rsid w:val="00066AFF"/>
    <w:rsid w:val="000674B0"/>
    <w:rsid w:val="000678E5"/>
    <w:rsid w:val="00071112"/>
    <w:rsid w:val="00072038"/>
    <w:rsid w:val="000745CC"/>
    <w:rsid w:val="00074E84"/>
    <w:rsid w:val="000755B0"/>
    <w:rsid w:val="00076D38"/>
    <w:rsid w:val="0008194D"/>
    <w:rsid w:val="00084835"/>
    <w:rsid w:val="00085A29"/>
    <w:rsid w:val="0008737E"/>
    <w:rsid w:val="0009143E"/>
    <w:rsid w:val="00091831"/>
    <w:rsid w:val="00093DA8"/>
    <w:rsid w:val="00094EFF"/>
    <w:rsid w:val="000A2833"/>
    <w:rsid w:val="000A3093"/>
    <w:rsid w:val="000A7F6B"/>
    <w:rsid w:val="000C69B6"/>
    <w:rsid w:val="000D1D0C"/>
    <w:rsid w:val="000D2E01"/>
    <w:rsid w:val="000D4333"/>
    <w:rsid w:val="000D69F1"/>
    <w:rsid w:val="000D700E"/>
    <w:rsid w:val="000D7C2C"/>
    <w:rsid w:val="000E1329"/>
    <w:rsid w:val="000E16C7"/>
    <w:rsid w:val="000E20F8"/>
    <w:rsid w:val="000E2998"/>
    <w:rsid w:val="000E60D2"/>
    <w:rsid w:val="000F3C60"/>
    <w:rsid w:val="000F44A5"/>
    <w:rsid w:val="000F6F03"/>
    <w:rsid w:val="000F7FCF"/>
    <w:rsid w:val="00101350"/>
    <w:rsid w:val="00102CA8"/>
    <w:rsid w:val="001058CE"/>
    <w:rsid w:val="00106DAA"/>
    <w:rsid w:val="0011107E"/>
    <w:rsid w:val="001119AC"/>
    <w:rsid w:val="00111FF5"/>
    <w:rsid w:val="00113BE4"/>
    <w:rsid w:val="00114210"/>
    <w:rsid w:val="00114B57"/>
    <w:rsid w:val="001158B5"/>
    <w:rsid w:val="00115E95"/>
    <w:rsid w:val="00116AAD"/>
    <w:rsid w:val="00120352"/>
    <w:rsid w:val="00124449"/>
    <w:rsid w:val="00125876"/>
    <w:rsid w:val="00125B7A"/>
    <w:rsid w:val="0013024F"/>
    <w:rsid w:val="00131AAD"/>
    <w:rsid w:val="00132331"/>
    <w:rsid w:val="00133443"/>
    <w:rsid w:val="00134294"/>
    <w:rsid w:val="00135B00"/>
    <w:rsid w:val="00137C16"/>
    <w:rsid w:val="0014579E"/>
    <w:rsid w:val="00146F35"/>
    <w:rsid w:val="00147C8B"/>
    <w:rsid w:val="001525CC"/>
    <w:rsid w:val="00165C32"/>
    <w:rsid w:val="00171880"/>
    <w:rsid w:val="001728D7"/>
    <w:rsid w:val="0017449D"/>
    <w:rsid w:val="00174EC7"/>
    <w:rsid w:val="00176A44"/>
    <w:rsid w:val="00176A4D"/>
    <w:rsid w:val="00180E45"/>
    <w:rsid w:val="001813DE"/>
    <w:rsid w:val="001836FF"/>
    <w:rsid w:val="00184536"/>
    <w:rsid w:val="00184BDC"/>
    <w:rsid w:val="00185825"/>
    <w:rsid w:val="00185FFC"/>
    <w:rsid w:val="00186D02"/>
    <w:rsid w:val="001906DB"/>
    <w:rsid w:val="00191628"/>
    <w:rsid w:val="001949AB"/>
    <w:rsid w:val="00195330"/>
    <w:rsid w:val="00195765"/>
    <w:rsid w:val="00196379"/>
    <w:rsid w:val="001963D8"/>
    <w:rsid w:val="001975A1"/>
    <w:rsid w:val="001979DA"/>
    <w:rsid w:val="001A07D9"/>
    <w:rsid w:val="001A1242"/>
    <w:rsid w:val="001A2F09"/>
    <w:rsid w:val="001A7152"/>
    <w:rsid w:val="001A7A00"/>
    <w:rsid w:val="001A7E3A"/>
    <w:rsid w:val="001B049F"/>
    <w:rsid w:val="001B05EF"/>
    <w:rsid w:val="001B2C44"/>
    <w:rsid w:val="001B2DB9"/>
    <w:rsid w:val="001B3586"/>
    <w:rsid w:val="001B76CE"/>
    <w:rsid w:val="001B7D46"/>
    <w:rsid w:val="001C0B2B"/>
    <w:rsid w:val="001C0B8E"/>
    <w:rsid w:val="001C0C3B"/>
    <w:rsid w:val="001C1A33"/>
    <w:rsid w:val="001C246A"/>
    <w:rsid w:val="001C26D2"/>
    <w:rsid w:val="001C3DCD"/>
    <w:rsid w:val="001C7C27"/>
    <w:rsid w:val="001D0C5C"/>
    <w:rsid w:val="001D2CE3"/>
    <w:rsid w:val="001D3088"/>
    <w:rsid w:val="001D5EF0"/>
    <w:rsid w:val="001D66F5"/>
    <w:rsid w:val="001D7B9D"/>
    <w:rsid w:val="001E2ED3"/>
    <w:rsid w:val="001E3CB2"/>
    <w:rsid w:val="001E4509"/>
    <w:rsid w:val="001E6580"/>
    <w:rsid w:val="001E72F0"/>
    <w:rsid w:val="001E73CA"/>
    <w:rsid w:val="001E7E09"/>
    <w:rsid w:val="001F06AE"/>
    <w:rsid w:val="001F1EB6"/>
    <w:rsid w:val="001F22E3"/>
    <w:rsid w:val="001F3AE0"/>
    <w:rsid w:val="001F6DAE"/>
    <w:rsid w:val="001F7BBD"/>
    <w:rsid w:val="00203C7C"/>
    <w:rsid w:val="0021361E"/>
    <w:rsid w:val="002147CF"/>
    <w:rsid w:val="00214977"/>
    <w:rsid w:val="0021498B"/>
    <w:rsid w:val="00215897"/>
    <w:rsid w:val="002159CF"/>
    <w:rsid w:val="00216A96"/>
    <w:rsid w:val="00216CD0"/>
    <w:rsid w:val="00221DB6"/>
    <w:rsid w:val="00224038"/>
    <w:rsid w:val="00227925"/>
    <w:rsid w:val="002338C2"/>
    <w:rsid w:val="00233C30"/>
    <w:rsid w:val="002424B1"/>
    <w:rsid w:val="00242612"/>
    <w:rsid w:val="0024270C"/>
    <w:rsid w:val="00242BAE"/>
    <w:rsid w:val="0024302A"/>
    <w:rsid w:val="00243E55"/>
    <w:rsid w:val="002440AE"/>
    <w:rsid w:val="0024440F"/>
    <w:rsid w:val="002635CF"/>
    <w:rsid w:val="00263867"/>
    <w:rsid w:val="00263C3B"/>
    <w:rsid w:val="00264B5B"/>
    <w:rsid w:val="0026660A"/>
    <w:rsid w:val="00267C52"/>
    <w:rsid w:val="002727D4"/>
    <w:rsid w:val="00274701"/>
    <w:rsid w:val="00274C57"/>
    <w:rsid w:val="00274FC4"/>
    <w:rsid w:val="00275DE5"/>
    <w:rsid w:val="00277716"/>
    <w:rsid w:val="002816C9"/>
    <w:rsid w:val="00282160"/>
    <w:rsid w:val="00284A0C"/>
    <w:rsid w:val="00284BF7"/>
    <w:rsid w:val="00287115"/>
    <w:rsid w:val="0029174C"/>
    <w:rsid w:val="00291FE3"/>
    <w:rsid w:val="00291FF7"/>
    <w:rsid w:val="00293E7B"/>
    <w:rsid w:val="002943B2"/>
    <w:rsid w:val="00296CB8"/>
    <w:rsid w:val="0029707D"/>
    <w:rsid w:val="00297834"/>
    <w:rsid w:val="00297A87"/>
    <w:rsid w:val="002A079E"/>
    <w:rsid w:val="002A0990"/>
    <w:rsid w:val="002A0CC4"/>
    <w:rsid w:val="002A30A4"/>
    <w:rsid w:val="002A59F3"/>
    <w:rsid w:val="002A5DB9"/>
    <w:rsid w:val="002A7540"/>
    <w:rsid w:val="002B0CD0"/>
    <w:rsid w:val="002B6147"/>
    <w:rsid w:val="002B7B74"/>
    <w:rsid w:val="002C4829"/>
    <w:rsid w:val="002C5B15"/>
    <w:rsid w:val="002C6590"/>
    <w:rsid w:val="002D38B8"/>
    <w:rsid w:val="002D3DE5"/>
    <w:rsid w:val="002E0D06"/>
    <w:rsid w:val="002E1CE6"/>
    <w:rsid w:val="002E2614"/>
    <w:rsid w:val="002E2DF9"/>
    <w:rsid w:val="002E63D9"/>
    <w:rsid w:val="002F2596"/>
    <w:rsid w:val="002F497D"/>
    <w:rsid w:val="002F4CAD"/>
    <w:rsid w:val="002F5B21"/>
    <w:rsid w:val="00300B6A"/>
    <w:rsid w:val="00304FFB"/>
    <w:rsid w:val="003054B3"/>
    <w:rsid w:val="0030570B"/>
    <w:rsid w:val="00311639"/>
    <w:rsid w:val="00316DC6"/>
    <w:rsid w:val="003179C6"/>
    <w:rsid w:val="00320F88"/>
    <w:rsid w:val="003240B4"/>
    <w:rsid w:val="0032467A"/>
    <w:rsid w:val="003263FF"/>
    <w:rsid w:val="00326E76"/>
    <w:rsid w:val="00327D17"/>
    <w:rsid w:val="00335AD9"/>
    <w:rsid w:val="00337B65"/>
    <w:rsid w:val="0034189F"/>
    <w:rsid w:val="00343D85"/>
    <w:rsid w:val="0034733E"/>
    <w:rsid w:val="00347B39"/>
    <w:rsid w:val="00350F02"/>
    <w:rsid w:val="003526F0"/>
    <w:rsid w:val="003531E9"/>
    <w:rsid w:val="00353BAD"/>
    <w:rsid w:val="00356A9B"/>
    <w:rsid w:val="00357774"/>
    <w:rsid w:val="0036153E"/>
    <w:rsid w:val="0036405B"/>
    <w:rsid w:val="003654C4"/>
    <w:rsid w:val="003729AF"/>
    <w:rsid w:val="00373B82"/>
    <w:rsid w:val="003753F1"/>
    <w:rsid w:val="003807BA"/>
    <w:rsid w:val="00383874"/>
    <w:rsid w:val="0038392A"/>
    <w:rsid w:val="00386805"/>
    <w:rsid w:val="003876BE"/>
    <w:rsid w:val="003933EC"/>
    <w:rsid w:val="00397F91"/>
    <w:rsid w:val="003A1EAD"/>
    <w:rsid w:val="003A2673"/>
    <w:rsid w:val="003A3E1E"/>
    <w:rsid w:val="003A4277"/>
    <w:rsid w:val="003A6646"/>
    <w:rsid w:val="003B3F95"/>
    <w:rsid w:val="003B453C"/>
    <w:rsid w:val="003B4641"/>
    <w:rsid w:val="003B55DB"/>
    <w:rsid w:val="003C0836"/>
    <w:rsid w:val="003C3627"/>
    <w:rsid w:val="003C47F4"/>
    <w:rsid w:val="003C5210"/>
    <w:rsid w:val="003D0F54"/>
    <w:rsid w:val="003D15EE"/>
    <w:rsid w:val="003D455F"/>
    <w:rsid w:val="003D54AE"/>
    <w:rsid w:val="003D7BCD"/>
    <w:rsid w:val="003E0021"/>
    <w:rsid w:val="003E043B"/>
    <w:rsid w:val="003E1B98"/>
    <w:rsid w:val="003E6522"/>
    <w:rsid w:val="003E6B1D"/>
    <w:rsid w:val="003F2C6B"/>
    <w:rsid w:val="003F5863"/>
    <w:rsid w:val="003F5E07"/>
    <w:rsid w:val="003F7516"/>
    <w:rsid w:val="0040151B"/>
    <w:rsid w:val="004023FD"/>
    <w:rsid w:val="004045E7"/>
    <w:rsid w:val="00405168"/>
    <w:rsid w:val="00405A22"/>
    <w:rsid w:val="00411E49"/>
    <w:rsid w:val="00414B37"/>
    <w:rsid w:val="0041609E"/>
    <w:rsid w:val="00420573"/>
    <w:rsid w:val="00422A59"/>
    <w:rsid w:val="00422B58"/>
    <w:rsid w:val="00422EB0"/>
    <w:rsid w:val="00424CF4"/>
    <w:rsid w:val="0042584D"/>
    <w:rsid w:val="00427536"/>
    <w:rsid w:val="00427DC6"/>
    <w:rsid w:val="0043031B"/>
    <w:rsid w:val="00430603"/>
    <w:rsid w:val="00430FD4"/>
    <w:rsid w:val="00432307"/>
    <w:rsid w:val="00433465"/>
    <w:rsid w:val="00433824"/>
    <w:rsid w:val="00433FF8"/>
    <w:rsid w:val="00441DC4"/>
    <w:rsid w:val="00447266"/>
    <w:rsid w:val="004476EC"/>
    <w:rsid w:val="0045219D"/>
    <w:rsid w:val="00454593"/>
    <w:rsid w:val="00464630"/>
    <w:rsid w:val="00465711"/>
    <w:rsid w:val="00465964"/>
    <w:rsid w:val="00465B75"/>
    <w:rsid w:val="00472832"/>
    <w:rsid w:val="00473EF1"/>
    <w:rsid w:val="00477E69"/>
    <w:rsid w:val="0048143D"/>
    <w:rsid w:val="00481B28"/>
    <w:rsid w:val="00487518"/>
    <w:rsid w:val="00497318"/>
    <w:rsid w:val="004A32F3"/>
    <w:rsid w:val="004A4282"/>
    <w:rsid w:val="004B2786"/>
    <w:rsid w:val="004B3755"/>
    <w:rsid w:val="004B5FC3"/>
    <w:rsid w:val="004B608B"/>
    <w:rsid w:val="004C1AE5"/>
    <w:rsid w:val="004C2E6F"/>
    <w:rsid w:val="004C570F"/>
    <w:rsid w:val="004C5B8B"/>
    <w:rsid w:val="004D265F"/>
    <w:rsid w:val="004D2CB6"/>
    <w:rsid w:val="004D4AD4"/>
    <w:rsid w:val="004E0189"/>
    <w:rsid w:val="004E0C29"/>
    <w:rsid w:val="004E16A9"/>
    <w:rsid w:val="004E3DE5"/>
    <w:rsid w:val="004E59B4"/>
    <w:rsid w:val="004F02AC"/>
    <w:rsid w:val="004F06CD"/>
    <w:rsid w:val="004F0826"/>
    <w:rsid w:val="004F44BE"/>
    <w:rsid w:val="004F591A"/>
    <w:rsid w:val="004F6506"/>
    <w:rsid w:val="004F6F27"/>
    <w:rsid w:val="0050094E"/>
    <w:rsid w:val="0050624E"/>
    <w:rsid w:val="005072A4"/>
    <w:rsid w:val="00512372"/>
    <w:rsid w:val="0051358D"/>
    <w:rsid w:val="00513713"/>
    <w:rsid w:val="00515EDF"/>
    <w:rsid w:val="00517692"/>
    <w:rsid w:val="00517776"/>
    <w:rsid w:val="005204F7"/>
    <w:rsid w:val="00520970"/>
    <w:rsid w:val="005224A8"/>
    <w:rsid w:val="0052269A"/>
    <w:rsid w:val="005242AB"/>
    <w:rsid w:val="00524B5A"/>
    <w:rsid w:val="00525CAA"/>
    <w:rsid w:val="0052781C"/>
    <w:rsid w:val="00530459"/>
    <w:rsid w:val="005352D8"/>
    <w:rsid w:val="00535BD7"/>
    <w:rsid w:val="00535C79"/>
    <w:rsid w:val="00536867"/>
    <w:rsid w:val="005404E0"/>
    <w:rsid w:val="005429D5"/>
    <w:rsid w:val="00542C9D"/>
    <w:rsid w:val="00543E3C"/>
    <w:rsid w:val="00544E43"/>
    <w:rsid w:val="00545569"/>
    <w:rsid w:val="0054632E"/>
    <w:rsid w:val="005478C7"/>
    <w:rsid w:val="005506F8"/>
    <w:rsid w:val="005552ED"/>
    <w:rsid w:val="005602D1"/>
    <w:rsid w:val="00560B32"/>
    <w:rsid w:val="005624B3"/>
    <w:rsid w:val="00563C7A"/>
    <w:rsid w:val="00564315"/>
    <w:rsid w:val="00564892"/>
    <w:rsid w:val="0057093C"/>
    <w:rsid w:val="005716AA"/>
    <w:rsid w:val="00571DF5"/>
    <w:rsid w:val="00571EE2"/>
    <w:rsid w:val="0057322E"/>
    <w:rsid w:val="005737D5"/>
    <w:rsid w:val="0057389A"/>
    <w:rsid w:val="00573CDE"/>
    <w:rsid w:val="00576E00"/>
    <w:rsid w:val="00580D52"/>
    <w:rsid w:val="005866E3"/>
    <w:rsid w:val="00586E23"/>
    <w:rsid w:val="00590028"/>
    <w:rsid w:val="00590944"/>
    <w:rsid w:val="00590B66"/>
    <w:rsid w:val="0059287A"/>
    <w:rsid w:val="005939E6"/>
    <w:rsid w:val="0059412B"/>
    <w:rsid w:val="00595A0B"/>
    <w:rsid w:val="00597AE9"/>
    <w:rsid w:val="005A6C98"/>
    <w:rsid w:val="005A70F3"/>
    <w:rsid w:val="005B2F69"/>
    <w:rsid w:val="005B321E"/>
    <w:rsid w:val="005B44FC"/>
    <w:rsid w:val="005B4A63"/>
    <w:rsid w:val="005B695C"/>
    <w:rsid w:val="005C3696"/>
    <w:rsid w:val="005C40A2"/>
    <w:rsid w:val="005C6ABE"/>
    <w:rsid w:val="005D2699"/>
    <w:rsid w:val="005D305E"/>
    <w:rsid w:val="005D3D7E"/>
    <w:rsid w:val="005D7AAE"/>
    <w:rsid w:val="005E0A72"/>
    <w:rsid w:val="005E2532"/>
    <w:rsid w:val="005E2700"/>
    <w:rsid w:val="005E42C7"/>
    <w:rsid w:val="005E7745"/>
    <w:rsid w:val="005F174C"/>
    <w:rsid w:val="005F2DF4"/>
    <w:rsid w:val="005F3720"/>
    <w:rsid w:val="005F3ECD"/>
    <w:rsid w:val="005F439E"/>
    <w:rsid w:val="005F619A"/>
    <w:rsid w:val="0060248C"/>
    <w:rsid w:val="00603BDB"/>
    <w:rsid w:val="006042CD"/>
    <w:rsid w:val="006056E2"/>
    <w:rsid w:val="00607041"/>
    <w:rsid w:val="006076AB"/>
    <w:rsid w:val="0061001B"/>
    <w:rsid w:val="00610D4F"/>
    <w:rsid w:val="006140AA"/>
    <w:rsid w:val="00614D18"/>
    <w:rsid w:val="00621471"/>
    <w:rsid w:val="00621518"/>
    <w:rsid w:val="006218E3"/>
    <w:rsid w:val="006269AE"/>
    <w:rsid w:val="00627D1F"/>
    <w:rsid w:val="00630744"/>
    <w:rsid w:val="006316AB"/>
    <w:rsid w:val="00633620"/>
    <w:rsid w:val="00635A7B"/>
    <w:rsid w:val="0064248B"/>
    <w:rsid w:val="006448F3"/>
    <w:rsid w:val="00645F8A"/>
    <w:rsid w:val="006508F6"/>
    <w:rsid w:val="0065231C"/>
    <w:rsid w:val="00653515"/>
    <w:rsid w:val="006555B7"/>
    <w:rsid w:val="0065563A"/>
    <w:rsid w:val="0066041A"/>
    <w:rsid w:val="006607A9"/>
    <w:rsid w:val="00662B68"/>
    <w:rsid w:val="006641CF"/>
    <w:rsid w:val="00670954"/>
    <w:rsid w:val="00673C76"/>
    <w:rsid w:val="006757AA"/>
    <w:rsid w:val="00675AD7"/>
    <w:rsid w:val="00676072"/>
    <w:rsid w:val="00676273"/>
    <w:rsid w:val="00680E72"/>
    <w:rsid w:val="0068434C"/>
    <w:rsid w:val="0068478A"/>
    <w:rsid w:val="0068774A"/>
    <w:rsid w:val="00693707"/>
    <w:rsid w:val="00694254"/>
    <w:rsid w:val="006945E8"/>
    <w:rsid w:val="006973F4"/>
    <w:rsid w:val="006A2B40"/>
    <w:rsid w:val="006A6365"/>
    <w:rsid w:val="006B09F5"/>
    <w:rsid w:val="006B1FF6"/>
    <w:rsid w:val="006B3BA8"/>
    <w:rsid w:val="006B3C14"/>
    <w:rsid w:val="006B4063"/>
    <w:rsid w:val="006B4607"/>
    <w:rsid w:val="006B5F22"/>
    <w:rsid w:val="006C0C4C"/>
    <w:rsid w:val="006C1B81"/>
    <w:rsid w:val="006C366A"/>
    <w:rsid w:val="006C51A9"/>
    <w:rsid w:val="006C70EF"/>
    <w:rsid w:val="006D5F83"/>
    <w:rsid w:val="006E467B"/>
    <w:rsid w:val="006E56C3"/>
    <w:rsid w:val="006E7B8B"/>
    <w:rsid w:val="006E7B94"/>
    <w:rsid w:val="006E7ED6"/>
    <w:rsid w:val="006F1E7F"/>
    <w:rsid w:val="006F659D"/>
    <w:rsid w:val="006F7C37"/>
    <w:rsid w:val="0070032B"/>
    <w:rsid w:val="00702160"/>
    <w:rsid w:val="00702B44"/>
    <w:rsid w:val="007057EB"/>
    <w:rsid w:val="007063E4"/>
    <w:rsid w:val="00713CD7"/>
    <w:rsid w:val="00716568"/>
    <w:rsid w:val="0072059D"/>
    <w:rsid w:val="00721CEE"/>
    <w:rsid w:val="00726B75"/>
    <w:rsid w:val="00727726"/>
    <w:rsid w:val="00730AD3"/>
    <w:rsid w:val="00730CFB"/>
    <w:rsid w:val="00731728"/>
    <w:rsid w:val="00733386"/>
    <w:rsid w:val="00736DCF"/>
    <w:rsid w:val="00737A24"/>
    <w:rsid w:val="0074017A"/>
    <w:rsid w:val="00740BA9"/>
    <w:rsid w:val="00741F46"/>
    <w:rsid w:val="00742631"/>
    <w:rsid w:val="00743AC3"/>
    <w:rsid w:val="00744DD6"/>
    <w:rsid w:val="007543B7"/>
    <w:rsid w:val="00755AB9"/>
    <w:rsid w:val="00757208"/>
    <w:rsid w:val="007578A0"/>
    <w:rsid w:val="007604E9"/>
    <w:rsid w:val="00760E86"/>
    <w:rsid w:val="00763CE6"/>
    <w:rsid w:val="007644AF"/>
    <w:rsid w:val="00765399"/>
    <w:rsid w:val="00767DC3"/>
    <w:rsid w:val="007722A8"/>
    <w:rsid w:val="00773869"/>
    <w:rsid w:val="00775B77"/>
    <w:rsid w:val="00775D6E"/>
    <w:rsid w:val="00776C18"/>
    <w:rsid w:val="00781EE0"/>
    <w:rsid w:val="007879D2"/>
    <w:rsid w:val="007922FC"/>
    <w:rsid w:val="00793C10"/>
    <w:rsid w:val="00795828"/>
    <w:rsid w:val="0079587F"/>
    <w:rsid w:val="007A1553"/>
    <w:rsid w:val="007A3F14"/>
    <w:rsid w:val="007A4CA0"/>
    <w:rsid w:val="007A5249"/>
    <w:rsid w:val="007B0F33"/>
    <w:rsid w:val="007B1D1C"/>
    <w:rsid w:val="007B1DC4"/>
    <w:rsid w:val="007B34C0"/>
    <w:rsid w:val="007B459C"/>
    <w:rsid w:val="007B5993"/>
    <w:rsid w:val="007B6254"/>
    <w:rsid w:val="007C0B3D"/>
    <w:rsid w:val="007C2C31"/>
    <w:rsid w:val="007C44CA"/>
    <w:rsid w:val="007D0CD2"/>
    <w:rsid w:val="007D2B0C"/>
    <w:rsid w:val="007D3920"/>
    <w:rsid w:val="007D4ADC"/>
    <w:rsid w:val="007D5638"/>
    <w:rsid w:val="007D5DF2"/>
    <w:rsid w:val="007D7FA5"/>
    <w:rsid w:val="007E3E62"/>
    <w:rsid w:val="007E4254"/>
    <w:rsid w:val="007E5671"/>
    <w:rsid w:val="007E57DA"/>
    <w:rsid w:val="007E6C52"/>
    <w:rsid w:val="007F058D"/>
    <w:rsid w:val="007F1B71"/>
    <w:rsid w:val="007F35E4"/>
    <w:rsid w:val="007F4D94"/>
    <w:rsid w:val="007F7325"/>
    <w:rsid w:val="007F75CC"/>
    <w:rsid w:val="00801C6A"/>
    <w:rsid w:val="0080511D"/>
    <w:rsid w:val="0080557F"/>
    <w:rsid w:val="00811DF9"/>
    <w:rsid w:val="00811FB4"/>
    <w:rsid w:val="00815911"/>
    <w:rsid w:val="00821878"/>
    <w:rsid w:val="008224F0"/>
    <w:rsid w:val="008228C1"/>
    <w:rsid w:val="00824F9B"/>
    <w:rsid w:val="00825767"/>
    <w:rsid w:val="0082630F"/>
    <w:rsid w:val="00826C37"/>
    <w:rsid w:val="00827FF1"/>
    <w:rsid w:val="00830857"/>
    <w:rsid w:val="00830ECB"/>
    <w:rsid w:val="0083392E"/>
    <w:rsid w:val="00834463"/>
    <w:rsid w:val="0083449B"/>
    <w:rsid w:val="00837AAC"/>
    <w:rsid w:val="00842A92"/>
    <w:rsid w:val="008476D3"/>
    <w:rsid w:val="00847B08"/>
    <w:rsid w:val="008509D6"/>
    <w:rsid w:val="008519F1"/>
    <w:rsid w:val="00852D32"/>
    <w:rsid w:val="00856D26"/>
    <w:rsid w:val="00860FAA"/>
    <w:rsid w:val="008632E0"/>
    <w:rsid w:val="008711AC"/>
    <w:rsid w:val="00872B26"/>
    <w:rsid w:val="00873AAB"/>
    <w:rsid w:val="00875EF4"/>
    <w:rsid w:val="008774E1"/>
    <w:rsid w:val="00877505"/>
    <w:rsid w:val="008800CB"/>
    <w:rsid w:val="00891332"/>
    <w:rsid w:val="00891B96"/>
    <w:rsid w:val="0089547A"/>
    <w:rsid w:val="008A00F8"/>
    <w:rsid w:val="008A1858"/>
    <w:rsid w:val="008A543D"/>
    <w:rsid w:val="008B0174"/>
    <w:rsid w:val="008B263B"/>
    <w:rsid w:val="008B362C"/>
    <w:rsid w:val="008B4625"/>
    <w:rsid w:val="008B4C1E"/>
    <w:rsid w:val="008B4D4A"/>
    <w:rsid w:val="008B6A30"/>
    <w:rsid w:val="008B6ECB"/>
    <w:rsid w:val="008C002A"/>
    <w:rsid w:val="008C094B"/>
    <w:rsid w:val="008C120A"/>
    <w:rsid w:val="008C1BC8"/>
    <w:rsid w:val="008C3D48"/>
    <w:rsid w:val="008D0880"/>
    <w:rsid w:val="008D1765"/>
    <w:rsid w:val="008D1BC3"/>
    <w:rsid w:val="008D1C3D"/>
    <w:rsid w:val="008D1C69"/>
    <w:rsid w:val="008D3230"/>
    <w:rsid w:val="008D326D"/>
    <w:rsid w:val="008D4CCC"/>
    <w:rsid w:val="008F3A30"/>
    <w:rsid w:val="008F7EE5"/>
    <w:rsid w:val="00902250"/>
    <w:rsid w:val="00902BF2"/>
    <w:rsid w:val="0091217C"/>
    <w:rsid w:val="009128C4"/>
    <w:rsid w:val="009145FB"/>
    <w:rsid w:val="009151FE"/>
    <w:rsid w:val="009177AA"/>
    <w:rsid w:val="00926561"/>
    <w:rsid w:val="0093172A"/>
    <w:rsid w:val="009324E9"/>
    <w:rsid w:val="00934078"/>
    <w:rsid w:val="00934E30"/>
    <w:rsid w:val="00935DBE"/>
    <w:rsid w:val="0094509F"/>
    <w:rsid w:val="0095221A"/>
    <w:rsid w:val="00953EE8"/>
    <w:rsid w:val="00955616"/>
    <w:rsid w:val="009566B0"/>
    <w:rsid w:val="009566BE"/>
    <w:rsid w:val="00956B66"/>
    <w:rsid w:val="00957196"/>
    <w:rsid w:val="00957E86"/>
    <w:rsid w:val="00962613"/>
    <w:rsid w:val="00965DF0"/>
    <w:rsid w:val="0097290F"/>
    <w:rsid w:val="0097563C"/>
    <w:rsid w:val="00975E2C"/>
    <w:rsid w:val="00976AEC"/>
    <w:rsid w:val="009773D0"/>
    <w:rsid w:val="00980734"/>
    <w:rsid w:val="00981020"/>
    <w:rsid w:val="009822A9"/>
    <w:rsid w:val="00985D49"/>
    <w:rsid w:val="0098760B"/>
    <w:rsid w:val="009925F9"/>
    <w:rsid w:val="00993D48"/>
    <w:rsid w:val="00995CEB"/>
    <w:rsid w:val="009A0C2F"/>
    <w:rsid w:val="009A134A"/>
    <w:rsid w:val="009A391C"/>
    <w:rsid w:val="009A513B"/>
    <w:rsid w:val="009A790D"/>
    <w:rsid w:val="009B0594"/>
    <w:rsid w:val="009B13B9"/>
    <w:rsid w:val="009B1AD4"/>
    <w:rsid w:val="009B1F46"/>
    <w:rsid w:val="009B4728"/>
    <w:rsid w:val="009B4C64"/>
    <w:rsid w:val="009C0831"/>
    <w:rsid w:val="009C4509"/>
    <w:rsid w:val="009C4D58"/>
    <w:rsid w:val="009C4D67"/>
    <w:rsid w:val="009C6590"/>
    <w:rsid w:val="009C69F6"/>
    <w:rsid w:val="009D0782"/>
    <w:rsid w:val="009E21D9"/>
    <w:rsid w:val="009E4FEB"/>
    <w:rsid w:val="009F48C3"/>
    <w:rsid w:val="009F5157"/>
    <w:rsid w:val="009F778B"/>
    <w:rsid w:val="009F7CAB"/>
    <w:rsid w:val="00A000B0"/>
    <w:rsid w:val="00A006EE"/>
    <w:rsid w:val="00A05C1B"/>
    <w:rsid w:val="00A05CA7"/>
    <w:rsid w:val="00A11581"/>
    <w:rsid w:val="00A12B64"/>
    <w:rsid w:val="00A12EA5"/>
    <w:rsid w:val="00A1606D"/>
    <w:rsid w:val="00A167FD"/>
    <w:rsid w:val="00A22F6F"/>
    <w:rsid w:val="00A2394E"/>
    <w:rsid w:val="00A300D0"/>
    <w:rsid w:val="00A375F5"/>
    <w:rsid w:val="00A42E67"/>
    <w:rsid w:val="00A45FC4"/>
    <w:rsid w:val="00A46BBF"/>
    <w:rsid w:val="00A4704D"/>
    <w:rsid w:val="00A54EC5"/>
    <w:rsid w:val="00A570A5"/>
    <w:rsid w:val="00A629D8"/>
    <w:rsid w:val="00A62A66"/>
    <w:rsid w:val="00A6425F"/>
    <w:rsid w:val="00A71175"/>
    <w:rsid w:val="00A72D04"/>
    <w:rsid w:val="00A767B0"/>
    <w:rsid w:val="00A82BA5"/>
    <w:rsid w:val="00A85CB1"/>
    <w:rsid w:val="00A8791E"/>
    <w:rsid w:val="00A93183"/>
    <w:rsid w:val="00A9537D"/>
    <w:rsid w:val="00A9654D"/>
    <w:rsid w:val="00AA0934"/>
    <w:rsid w:val="00AA273B"/>
    <w:rsid w:val="00AA349C"/>
    <w:rsid w:val="00AB046B"/>
    <w:rsid w:val="00AB2030"/>
    <w:rsid w:val="00AB2885"/>
    <w:rsid w:val="00AB302E"/>
    <w:rsid w:val="00AB35EF"/>
    <w:rsid w:val="00AB55D8"/>
    <w:rsid w:val="00AB5C1C"/>
    <w:rsid w:val="00AB6387"/>
    <w:rsid w:val="00AB6D23"/>
    <w:rsid w:val="00AC035E"/>
    <w:rsid w:val="00AC0808"/>
    <w:rsid w:val="00AC21F9"/>
    <w:rsid w:val="00AC2331"/>
    <w:rsid w:val="00AC2BCD"/>
    <w:rsid w:val="00AC6714"/>
    <w:rsid w:val="00AD060E"/>
    <w:rsid w:val="00AD1085"/>
    <w:rsid w:val="00AD5E46"/>
    <w:rsid w:val="00AE00AE"/>
    <w:rsid w:val="00AE1CA5"/>
    <w:rsid w:val="00AE1DE7"/>
    <w:rsid w:val="00AE27BD"/>
    <w:rsid w:val="00AE4760"/>
    <w:rsid w:val="00AE4E20"/>
    <w:rsid w:val="00AE5847"/>
    <w:rsid w:val="00AE5B77"/>
    <w:rsid w:val="00AE6077"/>
    <w:rsid w:val="00AE609B"/>
    <w:rsid w:val="00AE707C"/>
    <w:rsid w:val="00AE7210"/>
    <w:rsid w:val="00AF0358"/>
    <w:rsid w:val="00AF037D"/>
    <w:rsid w:val="00AF12B8"/>
    <w:rsid w:val="00AF1737"/>
    <w:rsid w:val="00AF2D2D"/>
    <w:rsid w:val="00AF3E91"/>
    <w:rsid w:val="00AF3FFA"/>
    <w:rsid w:val="00AF6781"/>
    <w:rsid w:val="00B01E34"/>
    <w:rsid w:val="00B0358C"/>
    <w:rsid w:val="00B0579D"/>
    <w:rsid w:val="00B102D1"/>
    <w:rsid w:val="00B10423"/>
    <w:rsid w:val="00B11CEE"/>
    <w:rsid w:val="00B25A3C"/>
    <w:rsid w:val="00B310A9"/>
    <w:rsid w:val="00B34FC2"/>
    <w:rsid w:val="00B36A19"/>
    <w:rsid w:val="00B37ED3"/>
    <w:rsid w:val="00B42CF0"/>
    <w:rsid w:val="00B435BC"/>
    <w:rsid w:val="00B43835"/>
    <w:rsid w:val="00B43876"/>
    <w:rsid w:val="00B449C2"/>
    <w:rsid w:val="00B46E90"/>
    <w:rsid w:val="00B474F4"/>
    <w:rsid w:val="00B50201"/>
    <w:rsid w:val="00B51C27"/>
    <w:rsid w:val="00B5430D"/>
    <w:rsid w:val="00B54BCD"/>
    <w:rsid w:val="00B57773"/>
    <w:rsid w:val="00B601F8"/>
    <w:rsid w:val="00B61980"/>
    <w:rsid w:val="00B65A2C"/>
    <w:rsid w:val="00B6626E"/>
    <w:rsid w:val="00B66648"/>
    <w:rsid w:val="00B708D1"/>
    <w:rsid w:val="00B73946"/>
    <w:rsid w:val="00B76315"/>
    <w:rsid w:val="00B76D19"/>
    <w:rsid w:val="00B77BCB"/>
    <w:rsid w:val="00B81EC6"/>
    <w:rsid w:val="00B8606D"/>
    <w:rsid w:val="00B92285"/>
    <w:rsid w:val="00B923E9"/>
    <w:rsid w:val="00B9246C"/>
    <w:rsid w:val="00B95676"/>
    <w:rsid w:val="00B96A0C"/>
    <w:rsid w:val="00BA18B8"/>
    <w:rsid w:val="00BA35B0"/>
    <w:rsid w:val="00BA4450"/>
    <w:rsid w:val="00BA53F2"/>
    <w:rsid w:val="00BA7A9E"/>
    <w:rsid w:val="00BB4E61"/>
    <w:rsid w:val="00BB6C5E"/>
    <w:rsid w:val="00BC3986"/>
    <w:rsid w:val="00BC3C9A"/>
    <w:rsid w:val="00BC4B77"/>
    <w:rsid w:val="00BC57F8"/>
    <w:rsid w:val="00BC6B2E"/>
    <w:rsid w:val="00BD1EFC"/>
    <w:rsid w:val="00BD1F41"/>
    <w:rsid w:val="00BD32BD"/>
    <w:rsid w:val="00BD436A"/>
    <w:rsid w:val="00BE0C06"/>
    <w:rsid w:val="00BE357E"/>
    <w:rsid w:val="00BE385B"/>
    <w:rsid w:val="00BE51E5"/>
    <w:rsid w:val="00BE5C46"/>
    <w:rsid w:val="00BE6B68"/>
    <w:rsid w:val="00BF017E"/>
    <w:rsid w:val="00BF01B8"/>
    <w:rsid w:val="00BF61C8"/>
    <w:rsid w:val="00BF661E"/>
    <w:rsid w:val="00BF782A"/>
    <w:rsid w:val="00C07049"/>
    <w:rsid w:val="00C070AC"/>
    <w:rsid w:val="00C13FA0"/>
    <w:rsid w:val="00C214DE"/>
    <w:rsid w:val="00C21511"/>
    <w:rsid w:val="00C222F6"/>
    <w:rsid w:val="00C23F28"/>
    <w:rsid w:val="00C24634"/>
    <w:rsid w:val="00C25C89"/>
    <w:rsid w:val="00C317B4"/>
    <w:rsid w:val="00C41697"/>
    <w:rsid w:val="00C41899"/>
    <w:rsid w:val="00C43072"/>
    <w:rsid w:val="00C43D92"/>
    <w:rsid w:val="00C45245"/>
    <w:rsid w:val="00C4741F"/>
    <w:rsid w:val="00C50532"/>
    <w:rsid w:val="00C50E2B"/>
    <w:rsid w:val="00C52B32"/>
    <w:rsid w:val="00C54FF9"/>
    <w:rsid w:val="00C55275"/>
    <w:rsid w:val="00C557DB"/>
    <w:rsid w:val="00C56311"/>
    <w:rsid w:val="00C57BC7"/>
    <w:rsid w:val="00C57E4F"/>
    <w:rsid w:val="00C6306B"/>
    <w:rsid w:val="00C63556"/>
    <w:rsid w:val="00C645FB"/>
    <w:rsid w:val="00C7128F"/>
    <w:rsid w:val="00C7651E"/>
    <w:rsid w:val="00C859F4"/>
    <w:rsid w:val="00C86CFF"/>
    <w:rsid w:val="00C87597"/>
    <w:rsid w:val="00C91039"/>
    <w:rsid w:val="00C975C7"/>
    <w:rsid w:val="00C97A62"/>
    <w:rsid w:val="00C97FA3"/>
    <w:rsid w:val="00CA3406"/>
    <w:rsid w:val="00CA43DB"/>
    <w:rsid w:val="00CB21F5"/>
    <w:rsid w:val="00CB58E1"/>
    <w:rsid w:val="00CC16B3"/>
    <w:rsid w:val="00CC1731"/>
    <w:rsid w:val="00CC30B2"/>
    <w:rsid w:val="00CC3F20"/>
    <w:rsid w:val="00CC4366"/>
    <w:rsid w:val="00CC556E"/>
    <w:rsid w:val="00CC6AEA"/>
    <w:rsid w:val="00CD5ED9"/>
    <w:rsid w:val="00CD60A5"/>
    <w:rsid w:val="00CE0D98"/>
    <w:rsid w:val="00CE4180"/>
    <w:rsid w:val="00CE59DA"/>
    <w:rsid w:val="00CE66CD"/>
    <w:rsid w:val="00CE6FEE"/>
    <w:rsid w:val="00CF687B"/>
    <w:rsid w:val="00CF7157"/>
    <w:rsid w:val="00D074EC"/>
    <w:rsid w:val="00D0799A"/>
    <w:rsid w:val="00D11BD2"/>
    <w:rsid w:val="00D12AD5"/>
    <w:rsid w:val="00D14DD0"/>
    <w:rsid w:val="00D16696"/>
    <w:rsid w:val="00D174FB"/>
    <w:rsid w:val="00D17DAB"/>
    <w:rsid w:val="00D2092D"/>
    <w:rsid w:val="00D2268A"/>
    <w:rsid w:val="00D2268B"/>
    <w:rsid w:val="00D22A74"/>
    <w:rsid w:val="00D2363E"/>
    <w:rsid w:val="00D24154"/>
    <w:rsid w:val="00D248A5"/>
    <w:rsid w:val="00D263CD"/>
    <w:rsid w:val="00D26C5B"/>
    <w:rsid w:val="00D275E5"/>
    <w:rsid w:val="00D27F10"/>
    <w:rsid w:val="00D31C0A"/>
    <w:rsid w:val="00D32D1C"/>
    <w:rsid w:val="00D34023"/>
    <w:rsid w:val="00D3430B"/>
    <w:rsid w:val="00D36922"/>
    <w:rsid w:val="00D377A5"/>
    <w:rsid w:val="00D40B81"/>
    <w:rsid w:val="00D41336"/>
    <w:rsid w:val="00D44470"/>
    <w:rsid w:val="00D46720"/>
    <w:rsid w:val="00D46799"/>
    <w:rsid w:val="00D46E67"/>
    <w:rsid w:val="00D52EA7"/>
    <w:rsid w:val="00D56AC2"/>
    <w:rsid w:val="00D57394"/>
    <w:rsid w:val="00D628CF"/>
    <w:rsid w:val="00D63704"/>
    <w:rsid w:val="00D638ED"/>
    <w:rsid w:val="00D6491F"/>
    <w:rsid w:val="00D6687D"/>
    <w:rsid w:val="00D721EC"/>
    <w:rsid w:val="00D7369C"/>
    <w:rsid w:val="00D75D42"/>
    <w:rsid w:val="00D75DD1"/>
    <w:rsid w:val="00D91E15"/>
    <w:rsid w:val="00D920AB"/>
    <w:rsid w:val="00D92CD0"/>
    <w:rsid w:val="00D936C9"/>
    <w:rsid w:val="00D94ACF"/>
    <w:rsid w:val="00D96977"/>
    <w:rsid w:val="00D97415"/>
    <w:rsid w:val="00DA0C88"/>
    <w:rsid w:val="00DA127B"/>
    <w:rsid w:val="00DA3A93"/>
    <w:rsid w:val="00DA54D3"/>
    <w:rsid w:val="00DA6146"/>
    <w:rsid w:val="00DA62DC"/>
    <w:rsid w:val="00DA6884"/>
    <w:rsid w:val="00DA727E"/>
    <w:rsid w:val="00DB07DB"/>
    <w:rsid w:val="00DB2E75"/>
    <w:rsid w:val="00DB3DB4"/>
    <w:rsid w:val="00DB4BC7"/>
    <w:rsid w:val="00DB6690"/>
    <w:rsid w:val="00DB6FB0"/>
    <w:rsid w:val="00DD39CC"/>
    <w:rsid w:val="00DD4A06"/>
    <w:rsid w:val="00DD73B3"/>
    <w:rsid w:val="00DE108F"/>
    <w:rsid w:val="00DE3DA1"/>
    <w:rsid w:val="00DE5572"/>
    <w:rsid w:val="00DE5CB1"/>
    <w:rsid w:val="00DE7C37"/>
    <w:rsid w:val="00DE7FE6"/>
    <w:rsid w:val="00DF03BB"/>
    <w:rsid w:val="00DF0D13"/>
    <w:rsid w:val="00DF0E87"/>
    <w:rsid w:val="00DF3433"/>
    <w:rsid w:val="00DF5D62"/>
    <w:rsid w:val="00E00093"/>
    <w:rsid w:val="00E00B38"/>
    <w:rsid w:val="00E02835"/>
    <w:rsid w:val="00E03C3A"/>
    <w:rsid w:val="00E04AAA"/>
    <w:rsid w:val="00E050A0"/>
    <w:rsid w:val="00E05789"/>
    <w:rsid w:val="00E0721E"/>
    <w:rsid w:val="00E11AC5"/>
    <w:rsid w:val="00E15AC2"/>
    <w:rsid w:val="00E17248"/>
    <w:rsid w:val="00E30741"/>
    <w:rsid w:val="00E325C3"/>
    <w:rsid w:val="00E34F53"/>
    <w:rsid w:val="00E43571"/>
    <w:rsid w:val="00E439A0"/>
    <w:rsid w:val="00E46B79"/>
    <w:rsid w:val="00E46E00"/>
    <w:rsid w:val="00E518AE"/>
    <w:rsid w:val="00E5774C"/>
    <w:rsid w:val="00E609AB"/>
    <w:rsid w:val="00E61236"/>
    <w:rsid w:val="00E62080"/>
    <w:rsid w:val="00E65DA0"/>
    <w:rsid w:val="00E70B5B"/>
    <w:rsid w:val="00E71006"/>
    <w:rsid w:val="00E735BC"/>
    <w:rsid w:val="00E7520A"/>
    <w:rsid w:val="00E777FF"/>
    <w:rsid w:val="00E80F72"/>
    <w:rsid w:val="00E82456"/>
    <w:rsid w:val="00E85B99"/>
    <w:rsid w:val="00E8653C"/>
    <w:rsid w:val="00E870E9"/>
    <w:rsid w:val="00E872EE"/>
    <w:rsid w:val="00E900D1"/>
    <w:rsid w:val="00E92EFF"/>
    <w:rsid w:val="00E93006"/>
    <w:rsid w:val="00E945F3"/>
    <w:rsid w:val="00E94932"/>
    <w:rsid w:val="00E964EE"/>
    <w:rsid w:val="00EA0752"/>
    <w:rsid w:val="00EA3698"/>
    <w:rsid w:val="00EA525D"/>
    <w:rsid w:val="00EB4A03"/>
    <w:rsid w:val="00EC18E5"/>
    <w:rsid w:val="00EC1AB2"/>
    <w:rsid w:val="00EC60B0"/>
    <w:rsid w:val="00ED03FE"/>
    <w:rsid w:val="00ED4BAF"/>
    <w:rsid w:val="00ED4FF7"/>
    <w:rsid w:val="00ED5C54"/>
    <w:rsid w:val="00EE2425"/>
    <w:rsid w:val="00EE4005"/>
    <w:rsid w:val="00EE5D04"/>
    <w:rsid w:val="00EE6A4C"/>
    <w:rsid w:val="00EE7017"/>
    <w:rsid w:val="00EE7DAC"/>
    <w:rsid w:val="00EF0627"/>
    <w:rsid w:val="00EF3BFC"/>
    <w:rsid w:val="00EF4779"/>
    <w:rsid w:val="00EF49C1"/>
    <w:rsid w:val="00EF64D9"/>
    <w:rsid w:val="00F03EBD"/>
    <w:rsid w:val="00F07D34"/>
    <w:rsid w:val="00F101D0"/>
    <w:rsid w:val="00F161AD"/>
    <w:rsid w:val="00F210E8"/>
    <w:rsid w:val="00F230E7"/>
    <w:rsid w:val="00F23158"/>
    <w:rsid w:val="00F236B5"/>
    <w:rsid w:val="00F23EE8"/>
    <w:rsid w:val="00F265B7"/>
    <w:rsid w:val="00F26D4E"/>
    <w:rsid w:val="00F27FAD"/>
    <w:rsid w:val="00F309AF"/>
    <w:rsid w:val="00F3378C"/>
    <w:rsid w:val="00F34CF6"/>
    <w:rsid w:val="00F40D9A"/>
    <w:rsid w:val="00F42460"/>
    <w:rsid w:val="00F439DC"/>
    <w:rsid w:val="00F43AF5"/>
    <w:rsid w:val="00F4577A"/>
    <w:rsid w:val="00F50D7F"/>
    <w:rsid w:val="00F5372A"/>
    <w:rsid w:val="00F54470"/>
    <w:rsid w:val="00F54894"/>
    <w:rsid w:val="00F56210"/>
    <w:rsid w:val="00F60017"/>
    <w:rsid w:val="00F609FB"/>
    <w:rsid w:val="00F645B5"/>
    <w:rsid w:val="00F64758"/>
    <w:rsid w:val="00F65ECA"/>
    <w:rsid w:val="00F71DE1"/>
    <w:rsid w:val="00F72705"/>
    <w:rsid w:val="00F74C17"/>
    <w:rsid w:val="00F754B8"/>
    <w:rsid w:val="00F80EC0"/>
    <w:rsid w:val="00F82BBD"/>
    <w:rsid w:val="00F82DB0"/>
    <w:rsid w:val="00F843EF"/>
    <w:rsid w:val="00F86E75"/>
    <w:rsid w:val="00F9413A"/>
    <w:rsid w:val="00F971CB"/>
    <w:rsid w:val="00FA1A74"/>
    <w:rsid w:val="00FA239B"/>
    <w:rsid w:val="00FA6F3E"/>
    <w:rsid w:val="00FA71DB"/>
    <w:rsid w:val="00FB0DE2"/>
    <w:rsid w:val="00FB1C37"/>
    <w:rsid w:val="00FB1F73"/>
    <w:rsid w:val="00FB205F"/>
    <w:rsid w:val="00FB3418"/>
    <w:rsid w:val="00FB610D"/>
    <w:rsid w:val="00FB7F8B"/>
    <w:rsid w:val="00FC24E4"/>
    <w:rsid w:val="00FC4737"/>
    <w:rsid w:val="00FC6962"/>
    <w:rsid w:val="00FC7D43"/>
    <w:rsid w:val="00FD1C8B"/>
    <w:rsid w:val="00FD2A30"/>
    <w:rsid w:val="00FD7C76"/>
    <w:rsid w:val="00FD7F59"/>
    <w:rsid w:val="00FE2C7F"/>
    <w:rsid w:val="00FE2FE5"/>
    <w:rsid w:val="00FE5DAA"/>
    <w:rsid w:val="00FE7256"/>
    <w:rsid w:val="00FF0F1A"/>
    <w:rsid w:val="00FF135B"/>
    <w:rsid w:val="00FF1BE8"/>
    <w:rsid w:val="00FF32ED"/>
    <w:rsid w:val="00FF5957"/>
    <w:rsid w:val="00FF6162"/>
    <w:rsid w:val="00FF7F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673B74A1"/>
  <w15:docId w15:val="{8B7A8E25-D869-4245-8625-3A7EFC369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189F"/>
  </w:style>
  <w:style w:type="paragraph" w:styleId="Balk1">
    <w:name w:val="heading 1"/>
    <w:basedOn w:val="Normal"/>
    <w:next w:val="Normal"/>
    <w:qFormat/>
    <w:rsid w:val="002A7540"/>
    <w:pPr>
      <w:keepNext/>
      <w:spacing w:before="240" w:after="60"/>
      <w:outlineLvl w:val="0"/>
    </w:pPr>
    <w:rPr>
      <w:rFonts w:ascii="Arial" w:hAnsi="Arial" w:cs="Arial"/>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34733E"/>
    <w:pPr>
      <w:tabs>
        <w:tab w:val="center" w:pos="4536"/>
        <w:tab w:val="right" w:pos="9072"/>
      </w:tabs>
    </w:pPr>
  </w:style>
  <w:style w:type="paragraph" w:styleId="AltBilgi">
    <w:name w:val="footer"/>
    <w:basedOn w:val="Normal"/>
    <w:uiPriority w:val="99"/>
    <w:rsid w:val="0034733E"/>
    <w:pPr>
      <w:tabs>
        <w:tab w:val="center" w:pos="4536"/>
        <w:tab w:val="right" w:pos="9072"/>
      </w:tabs>
    </w:pPr>
  </w:style>
  <w:style w:type="paragraph" w:customStyle="1" w:styleId="CharCharCharCharCharCharCharCharCharChar">
    <w:name w:val="Char Char Char Char Char Char Char Char Char Char"/>
    <w:basedOn w:val="Normal"/>
    <w:rsid w:val="0034733E"/>
    <w:pPr>
      <w:spacing w:after="160" w:line="240" w:lineRule="exact"/>
    </w:pPr>
    <w:rPr>
      <w:rFonts w:ascii="Tahoma" w:hAnsi="Tahoma"/>
      <w:lang w:val="en-US" w:eastAsia="en-US"/>
    </w:rPr>
  </w:style>
  <w:style w:type="table" w:styleId="TabloKlavuzu">
    <w:name w:val="Table Grid"/>
    <w:basedOn w:val="NormalTablo"/>
    <w:uiPriority w:val="59"/>
    <w:rsid w:val="00A30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iklamalar">
    <w:name w:val="Aciklamalar"/>
    <w:rsid w:val="00203C7C"/>
    <w:rPr>
      <w:sz w:val="16"/>
      <w:szCs w:val="16"/>
    </w:rPr>
  </w:style>
  <w:style w:type="character" w:customStyle="1" w:styleId="Aklama">
    <w:name w:val="Açıklama"/>
    <w:rsid w:val="003D0F54"/>
    <w:rPr>
      <w:i/>
      <w:bdr w:val="none" w:sz="0" w:space="0" w:color="auto"/>
      <w:shd w:val="clear" w:color="auto" w:fill="FFFF00"/>
    </w:rPr>
  </w:style>
  <w:style w:type="paragraph" w:styleId="AklamaMetni">
    <w:name w:val="annotation text"/>
    <w:basedOn w:val="Normal"/>
    <w:link w:val="AklamaMetniChar"/>
    <w:semiHidden/>
    <w:rsid w:val="008C120A"/>
  </w:style>
  <w:style w:type="character" w:styleId="AklamaBavurusu">
    <w:name w:val="annotation reference"/>
    <w:semiHidden/>
    <w:rsid w:val="008C120A"/>
    <w:rPr>
      <w:sz w:val="16"/>
      <w:szCs w:val="16"/>
    </w:rPr>
  </w:style>
  <w:style w:type="character" w:styleId="Kpr">
    <w:name w:val="Hyperlink"/>
    <w:rsid w:val="008C120A"/>
    <w:rPr>
      <w:color w:val="0000FF"/>
      <w:u w:val="single"/>
    </w:rPr>
  </w:style>
  <w:style w:type="paragraph" w:styleId="BalonMetni">
    <w:name w:val="Balloon Text"/>
    <w:basedOn w:val="Normal"/>
    <w:semiHidden/>
    <w:rsid w:val="008C120A"/>
    <w:rPr>
      <w:rFonts w:ascii="Tahoma" w:hAnsi="Tahoma" w:cs="Tahoma"/>
      <w:sz w:val="16"/>
      <w:szCs w:val="16"/>
    </w:rPr>
  </w:style>
  <w:style w:type="paragraph" w:customStyle="1" w:styleId="Char">
    <w:name w:val="Char"/>
    <w:basedOn w:val="Normal"/>
    <w:rsid w:val="00E11AC5"/>
    <w:pPr>
      <w:spacing w:after="160" w:line="240" w:lineRule="exact"/>
    </w:pPr>
    <w:rPr>
      <w:rFonts w:ascii="Tahoma" w:hAnsi="Tahoma"/>
      <w:lang w:val="en-US" w:eastAsia="en-US"/>
    </w:rPr>
  </w:style>
  <w:style w:type="paragraph" w:customStyle="1" w:styleId="CharCharChar1CharCharChar1CharCharChar">
    <w:name w:val="Char Char Char1 Char Char Char1 Char Char Char"/>
    <w:basedOn w:val="Normal"/>
    <w:rsid w:val="00D75D42"/>
    <w:pPr>
      <w:widowControl w:val="0"/>
      <w:adjustRightInd w:val="0"/>
      <w:spacing w:after="160" w:line="240" w:lineRule="exact"/>
      <w:jc w:val="both"/>
    </w:pPr>
    <w:rPr>
      <w:rFonts w:ascii="Tahoma" w:eastAsia="SimSun" w:hAnsi="Tahoma"/>
      <w:lang w:val="en-US" w:eastAsia="zh-CN"/>
    </w:rPr>
  </w:style>
  <w:style w:type="paragraph" w:customStyle="1" w:styleId="Char1">
    <w:name w:val="Char1"/>
    <w:basedOn w:val="Normal"/>
    <w:rsid w:val="00ED4FF7"/>
    <w:pPr>
      <w:widowControl w:val="0"/>
      <w:adjustRightInd w:val="0"/>
      <w:spacing w:after="160" w:line="240" w:lineRule="exact"/>
      <w:jc w:val="both"/>
    </w:pPr>
    <w:rPr>
      <w:rFonts w:ascii="Tahoma" w:eastAsia="SimSun" w:hAnsi="Tahoma"/>
      <w:lang w:val="en-US" w:eastAsia="zh-CN"/>
    </w:rPr>
  </w:style>
  <w:style w:type="character" w:styleId="SayfaNumaras">
    <w:name w:val="page number"/>
    <w:basedOn w:val="VarsaylanParagrafYazTipi"/>
    <w:rsid w:val="00513713"/>
  </w:style>
  <w:style w:type="paragraph" w:customStyle="1" w:styleId="Char0">
    <w:name w:val="Char"/>
    <w:basedOn w:val="Normal"/>
    <w:rsid w:val="00274C57"/>
    <w:pPr>
      <w:widowControl w:val="0"/>
      <w:adjustRightInd w:val="0"/>
      <w:spacing w:after="160" w:line="240" w:lineRule="exact"/>
      <w:jc w:val="both"/>
    </w:pPr>
    <w:rPr>
      <w:rFonts w:ascii="Tahoma" w:eastAsia="SimSun" w:hAnsi="Tahoma"/>
      <w:lang w:val="en-US" w:eastAsia="zh-CN"/>
    </w:rPr>
  </w:style>
  <w:style w:type="paragraph" w:customStyle="1" w:styleId="Char1CharChar1">
    <w:name w:val="Char1 Char Char1"/>
    <w:basedOn w:val="Normal"/>
    <w:rsid w:val="0094509F"/>
    <w:pPr>
      <w:spacing w:after="160" w:line="240" w:lineRule="exact"/>
    </w:pPr>
    <w:rPr>
      <w:rFonts w:ascii="Tahoma" w:hAnsi="Tahoma"/>
      <w:lang w:val="en-US" w:eastAsia="en-US"/>
    </w:rPr>
  </w:style>
  <w:style w:type="table" w:styleId="TabloTemas">
    <w:name w:val="Table Theme"/>
    <w:basedOn w:val="NormalTablo"/>
    <w:rsid w:val="00945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rsid w:val="00675AD7"/>
    <w:pPr>
      <w:spacing w:after="160" w:line="240" w:lineRule="exact"/>
    </w:pPr>
    <w:rPr>
      <w:rFonts w:ascii="Tahoma" w:hAnsi="Tahoma"/>
      <w:lang w:val="en-US" w:eastAsia="en-US"/>
    </w:rPr>
  </w:style>
  <w:style w:type="paragraph" w:customStyle="1" w:styleId="CharCharCharCharChar">
    <w:name w:val="Char Char Char Char Char"/>
    <w:basedOn w:val="Normal"/>
    <w:rsid w:val="00675AD7"/>
    <w:pPr>
      <w:widowControl w:val="0"/>
      <w:adjustRightInd w:val="0"/>
      <w:spacing w:after="160" w:line="240" w:lineRule="exact"/>
      <w:jc w:val="both"/>
    </w:pPr>
    <w:rPr>
      <w:rFonts w:ascii="Tahoma" w:eastAsia="SimSun" w:hAnsi="Tahoma"/>
      <w:lang w:val="en-US" w:eastAsia="zh-CN"/>
    </w:rPr>
  </w:style>
  <w:style w:type="paragraph" w:styleId="GvdeMetni">
    <w:name w:val="Body Text"/>
    <w:basedOn w:val="Normal"/>
    <w:link w:val="GvdeMetniChar"/>
    <w:rsid w:val="00BC4B77"/>
    <w:pPr>
      <w:spacing w:before="240" w:line="290" w:lineRule="exact"/>
      <w:jc w:val="both"/>
    </w:pPr>
    <w:rPr>
      <w:sz w:val="24"/>
      <w:lang w:eastAsia="en-US"/>
    </w:rPr>
  </w:style>
  <w:style w:type="character" w:customStyle="1" w:styleId="GvdeMetniChar">
    <w:name w:val="Gövde Metni Char"/>
    <w:link w:val="GvdeMetni"/>
    <w:rsid w:val="00BC4B77"/>
    <w:rPr>
      <w:sz w:val="24"/>
      <w:lang w:eastAsia="en-US"/>
    </w:rPr>
  </w:style>
  <w:style w:type="paragraph" w:customStyle="1" w:styleId="Default">
    <w:name w:val="Default"/>
    <w:rsid w:val="00BF61C8"/>
    <w:pPr>
      <w:autoSpaceDE w:val="0"/>
      <w:autoSpaceDN w:val="0"/>
      <w:adjustRightInd w:val="0"/>
    </w:pPr>
    <w:rPr>
      <w:rFonts w:ascii="Cambria" w:hAnsi="Cambria" w:cs="Cambria"/>
      <w:color w:val="000000"/>
      <w:sz w:val="24"/>
      <w:szCs w:val="24"/>
    </w:rPr>
  </w:style>
  <w:style w:type="paragraph" w:styleId="ListeParagraf">
    <w:name w:val="List Paragraph"/>
    <w:aliases w:val="Table Heading"/>
    <w:basedOn w:val="Normal"/>
    <w:link w:val="ListeParagrafChar"/>
    <w:uiPriority w:val="34"/>
    <w:qFormat/>
    <w:rsid w:val="00BF61C8"/>
    <w:pPr>
      <w:spacing w:after="200" w:line="276" w:lineRule="auto"/>
      <w:ind w:left="720"/>
      <w:contextualSpacing/>
    </w:pPr>
    <w:rPr>
      <w:rFonts w:ascii="Calibri" w:eastAsia="Calibri" w:hAnsi="Calibri"/>
      <w:sz w:val="22"/>
      <w:szCs w:val="22"/>
      <w:lang w:eastAsia="en-US"/>
    </w:rPr>
  </w:style>
  <w:style w:type="paragraph" w:customStyle="1" w:styleId="stbilgi1">
    <w:name w:val="Üstbilgi1"/>
    <w:basedOn w:val="Normal"/>
    <w:link w:val="stbilgiChar"/>
    <w:rsid w:val="00047C67"/>
    <w:pPr>
      <w:tabs>
        <w:tab w:val="center" w:pos="4536"/>
        <w:tab w:val="right" w:pos="9072"/>
      </w:tabs>
    </w:pPr>
    <w:rPr>
      <w:sz w:val="24"/>
      <w:szCs w:val="24"/>
    </w:rPr>
  </w:style>
  <w:style w:type="character" w:customStyle="1" w:styleId="stbilgiChar">
    <w:name w:val="Üstbilgi Char"/>
    <w:link w:val="stbilgi1"/>
    <w:rsid w:val="00047C67"/>
    <w:rPr>
      <w:sz w:val="24"/>
      <w:szCs w:val="24"/>
    </w:rPr>
  </w:style>
  <w:style w:type="paragraph" w:styleId="AklamaKonusu">
    <w:name w:val="annotation subject"/>
    <w:basedOn w:val="AklamaMetni"/>
    <w:next w:val="AklamaMetni"/>
    <w:link w:val="AklamaKonusuChar"/>
    <w:semiHidden/>
    <w:unhideWhenUsed/>
    <w:rsid w:val="00F34CF6"/>
    <w:rPr>
      <w:b/>
      <w:bCs/>
    </w:rPr>
  </w:style>
  <w:style w:type="character" w:customStyle="1" w:styleId="AklamaMetniChar">
    <w:name w:val="Açıklama Metni Char"/>
    <w:basedOn w:val="VarsaylanParagrafYazTipi"/>
    <w:link w:val="AklamaMetni"/>
    <w:semiHidden/>
    <w:rsid w:val="00F34CF6"/>
  </w:style>
  <w:style w:type="character" w:customStyle="1" w:styleId="AklamaKonusuChar">
    <w:name w:val="Açıklama Konusu Char"/>
    <w:basedOn w:val="AklamaMetniChar"/>
    <w:link w:val="AklamaKonusu"/>
    <w:semiHidden/>
    <w:rsid w:val="00F34CF6"/>
    <w:rPr>
      <w:b/>
      <w:bCs/>
    </w:rPr>
  </w:style>
  <w:style w:type="paragraph" w:styleId="NormalWeb">
    <w:name w:val="Normal (Web)"/>
    <w:basedOn w:val="Normal"/>
    <w:uiPriority w:val="99"/>
    <w:semiHidden/>
    <w:unhideWhenUsed/>
    <w:rsid w:val="001A1242"/>
    <w:pPr>
      <w:spacing w:before="100" w:beforeAutospacing="1" w:after="100" w:afterAutospacing="1"/>
    </w:pPr>
    <w:rPr>
      <w:sz w:val="24"/>
      <w:szCs w:val="24"/>
    </w:rPr>
  </w:style>
  <w:style w:type="character" w:styleId="YerTutucuMetni">
    <w:name w:val="Placeholder Text"/>
    <w:basedOn w:val="VarsaylanParagrafYazTipi"/>
    <w:uiPriority w:val="99"/>
    <w:semiHidden/>
    <w:rsid w:val="001A1242"/>
    <w:rPr>
      <w:color w:val="808080"/>
    </w:rPr>
  </w:style>
  <w:style w:type="character" w:customStyle="1" w:styleId="ListeParagrafChar">
    <w:name w:val="Liste Paragraf Char"/>
    <w:aliases w:val="Table Heading Char"/>
    <w:basedOn w:val="VarsaylanParagrafYazTipi"/>
    <w:link w:val="ListeParagraf"/>
    <w:uiPriority w:val="34"/>
    <w:locked/>
    <w:rsid w:val="00C52B32"/>
    <w:rPr>
      <w:rFonts w:ascii="Calibri" w:eastAsia="Calibri" w:hAnsi="Calibri"/>
      <w:sz w:val="22"/>
      <w:szCs w:val="22"/>
      <w:lang w:eastAsia="en-US"/>
    </w:rPr>
  </w:style>
  <w:style w:type="character" w:customStyle="1" w:styleId="AltBilgiChar">
    <w:name w:val="Alt Bilgi Char"/>
    <w:link w:val="Altbilgi0"/>
    <w:uiPriority w:val="99"/>
    <w:locked/>
    <w:rsid w:val="00BE357E"/>
    <w:rPr>
      <w:sz w:val="24"/>
      <w:szCs w:val="24"/>
      <w:lang w:eastAsia="en-US"/>
    </w:rPr>
  </w:style>
  <w:style w:type="paragraph" w:customStyle="1" w:styleId="Altbilgi0">
    <w:name w:val="Altbilgi"/>
    <w:basedOn w:val="Normal"/>
    <w:link w:val="AltBilgiChar"/>
    <w:rsid w:val="00BE357E"/>
    <w:pPr>
      <w:tabs>
        <w:tab w:val="center" w:pos="4703"/>
        <w:tab w:val="right" w:pos="9406"/>
      </w:tabs>
    </w:pPr>
    <w:rPr>
      <w:sz w:val="24"/>
      <w:szCs w:val="24"/>
      <w:lang w:eastAsia="en-US"/>
    </w:rPr>
  </w:style>
  <w:style w:type="character" w:styleId="Vurgu">
    <w:name w:val="Emphasis"/>
    <w:basedOn w:val="VarsaylanParagrafYazTipi"/>
    <w:uiPriority w:val="20"/>
    <w:qFormat/>
    <w:rsid w:val="007E4254"/>
    <w:rPr>
      <w:rFonts w:ascii="Times New Roman" w:hAnsi="Times New Roman"/>
      <w:i w:val="0"/>
      <w:iCs/>
      <w:sz w:val="24"/>
    </w:rPr>
  </w:style>
  <w:style w:type="paragraph" w:styleId="Dzeltme">
    <w:name w:val="Revision"/>
    <w:hidden/>
    <w:uiPriority w:val="99"/>
    <w:semiHidden/>
    <w:rsid w:val="00327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555587">
      <w:bodyDiv w:val="1"/>
      <w:marLeft w:val="0"/>
      <w:marRight w:val="0"/>
      <w:marTop w:val="0"/>
      <w:marBottom w:val="0"/>
      <w:divBdr>
        <w:top w:val="none" w:sz="0" w:space="0" w:color="auto"/>
        <w:left w:val="none" w:sz="0" w:space="0" w:color="auto"/>
        <w:bottom w:val="none" w:sz="0" w:space="0" w:color="auto"/>
        <w:right w:val="none" w:sz="0" w:space="0" w:color="auto"/>
      </w:divBdr>
    </w:div>
    <w:div w:id="283855521">
      <w:bodyDiv w:val="1"/>
      <w:marLeft w:val="0"/>
      <w:marRight w:val="0"/>
      <w:marTop w:val="0"/>
      <w:marBottom w:val="0"/>
      <w:divBdr>
        <w:top w:val="none" w:sz="0" w:space="0" w:color="auto"/>
        <w:left w:val="none" w:sz="0" w:space="0" w:color="auto"/>
        <w:bottom w:val="none" w:sz="0" w:space="0" w:color="auto"/>
        <w:right w:val="none" w:sz="0" w:space="0" w:color="auto"/>
      </w:divBdr>
    </w:div>
    <w:div w:id="824660972">
      <w:bodyDiv w:val="1"/>
      <w:marLeft w:val="0"/>
      <w:marRight w:val="0"/>
      <w:marTop w:val="0"/>
      <w:marBottom w:val="0"/>
      <w:divBdr>
        <w:top w:val="none" w:sz="0" w:space="0" w:color="auto"/>
        <w:left w:val="none" w:sz="0" w:space="0" w:color="auto"/>
        <w:bottom w:val="none" w:sz="0" w:space="0" w:color="auto"/>
        <w:right w:val="none" w:sz="0" w:space="0" w:color="auto"/>
      </w:divBdr>
    </w:div>
    <w:div w:id="887575063">
      <w:bodyDiv w:val="1"/>
      <w:marLeft w:val="0"/>
      <w:marRight w:val="0"/>
      <w:marTop w:val="0"/>
      <w:marBottom w:val="0"/>
      <w:divBdr>
        <w:top w:val="none" w:sz="0" w:space="0" w:color="auto"/>
        <w:left w:val="none" w:sz="0" w:space="0" w:color="auto"/>
        <w:bottom w:val="none" w:sz="0" w:space="0" w:color="auto"/>
        <w:right w:val="none" w:sz="0" w:space="0" w:color="auto"/>
      </w:divBdr>
    </w:div>
    <w:div w:id="929580497">
      <w:bodyDiv w:val="1"/>
      <w:marLeft w:val="0"/>
      <w:marRight w:val="0"/>
      <w:marTop w:val="0"/>
      <w:marBottom w:val="0"/>
      <w:divBdr>
        <w:top w:val="none" w:sz="0" w:space="0" w:color="auto"/>
        <w:left w:val="none" w:sz="0" w:space="0" w:color="auto"/>
        <w:bottom w:val="none" w:sz="0" w:space="0" w:color="auto"/>
        <w:right w:val="none" w:sz="0" w:space="0" w:color="auto"/>
      </w:divBdr>
      <w:divsChild>
        <w:div w:id="575359359">
          <w:marLeft w:val="706"/>
          <w:marRight w:val="0"/>
          <w:marTop w:val="0"/>
          <w:marBottom w:val="0"/>
          <w:divBdr>
            <w:top w:val="none" w:sz="0" w:space="0" w:color="auto"/>
            <w:left w:val="none" w:sz="0" w:space="0" w:color="auto"/>
            <w:bottom w:val="none" w:sz="0" w:space="0" w:color="auto"/>
            <w:right w:val="none" w:sz="0" w:space="0" w:color="auto"/>
          </w:divBdr>
        </w:div>
        <w:div w:id="868178590">
          <w:marLeft w:val="706"/>
          <w:marRight w:val="0"/>
          <w:marTop w:val="0"/>
          <w:marBottom w:val="0"/>
          <w:divBdr>
            <w:top w:val="none" w:sz="0" w:space="0" w:color="auto"/>
            <w:left w:val="none" w:sz="0" w:space="0" w:color="auto"/>
            <w:bottom w:val="none" w:sz="0" w:space="0" w:color="auto"/>
            <w:right w:val="none" w:sz="0" w:space="0" w:color="auto"/>
          </w:divBdr>
        </w:div>
        <w:div w:id="1517886307">
          <w:marLeft w:val="706"/>
          <w:marRight w:val="0"/>
          <w:marTop w:val="0"/>
          <w:marBottom w:val="0"/>
          <w:divBdr>
            <w:top w:val="none" w:sz="0" w:space="0" w:color="auto"/>
            <w:left w:val="none" w:sz="0" w:space="0" w:color="auto"/>
            <w:bottom w:val="none" w:sz="0" w:space="0" w:color="auto"/>
            <w:right w:val="none" w:sz="0" w:space="0" w:color="auto"/>
          </w:divBdr>
        </w:div>
        <w:div w:id="202789338">
          <w:marLeft w:val="864"/>
          <w:marRight w:val="0"/>
          <w:marTop w:val="0"/>
          <w:marBottom w:val="0"/>
          <w:divBdr>
            <w:top w:val="none" w:sz="0" w:space="0" w:color="auto"/>
            <w:left w:val="none" w:sz="0" w:space="0" w:color="auto"/>
            <w:bottom w:val="none" w:sz="0" w:space="0" w:color="auto"/>
            <w:right w:val="none" w:sz="0" w:space="0" w:color="auto"/>
          </w:divBdr>
        </w:div>
      </w:divsChild>
    </w:div>
    <w:div w:id="1368991292">
      <w:bodyDiv w:val="1"/>
      <w:marLeft w:val="0"/>
      <w:marRight w:val="0"/>
      <w:marTop w:val="0"/>
      <w:marBottom w:val="0"/>
      <w:divBdr>
        <w:top w:val="none" w:sz="0" w:space="0" w:color="auto"/>
        <w:left w:val="none" w:sz="0" w:space="0" w:color="auto"/>
        <w:bottom w:val="none" w:sz="0" w:space="0" w:color="auto"/>
        <w:right w:val="none" w:sz="0" w:space="0" w:color="auto"/>
      </w:divBdr>
    </w:div>
    <w:div w:id="205399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07300-BC43-436B-9EA9-58525CF98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932</Words>
  <Characters>6453</Characters>
  <Application>Microsoft Office Word</Application>
  <DocSecurity>0</DocSecurity>
  <Lines>53</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İstihdamı Koruma Destek Programı Başvuru Formu</vt:lpstr>
      <vt:lpstr></vt:lpstr>
    </vt:vector>
  </TitlesOfParts>
  <Company>KOSGEB</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GSYF Yatırımları Yatırımcı Sözleşmesi Taslağı</dc:title>
  <dc:subject/>
  <dc:creator>OYA ERYİĞİT</dc:creator>
  <cp:keywords/>
  <cp:lastModifiedBy>OYA ERYİĞİT</cp:lastModifiedBy>
  <cp:revision>3</cp:revision>
  <cp:lastPrinted>2025-01-30T19:46:00Z</cp:lastPrinted>
  <dcterms:created xsi:type="dcterms:W3CDTF">2026-07-02T11:27:00Z</dcterms:created>
  <dcterms:modified xsi:type="dcterms:W3CDTF">2026-07-02T11:28:00Z</dcterms:modified>
</cp:coreProperties>
</file>